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198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151</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151</w:t>
            </w: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9BEE79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6766900元</w:t>
            </w:r>
            <w:r>
              <w:rPr>
                <w:rFonts w:hint="eastAsia" w:ascii="仿宋" w:hAnsi="仿宋" w:eastAsia="仿宋" w:cs="仿宋"/>
                <w:b w:val="0"/>
                <w:bCs w:val="0"/>
                <w:kern w:val="0"/>
                <w:sz w:val="20"/>
                <w:szCs w:val="20"/>
              </w:rPr>
              <w:t>　</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5268000</w:t>
            </w: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元</w:t>
            </w: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8208588.4</w:t>
            </w: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元</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xml:space="preserve">    1、</w:t>
            </w:r>
            <w:r>
              <w:rPr>
                <w:rFonts w:hint="eastAsia" w:ascii="仿宋" w:hAnsi="仿宋" w:eastAsia="仿宋" w:cs="仿宋"/>
                <w:b w:val="0"/>
                <w:bCs w:val="0"/>
                <w:kern w:val="0"/>
                <w:sz w:val="20"/>
                <w:szCs w:val="20"/>
                <w:lang w:val="en-US" w:eastAsia="zh-CN"/>
              </w:rPr>
              <w:t>保安经费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217296</w:t>
            </w:r>
            <w:r>
              <w:rPr>
                <w:rFonts w:hint="eastAsia" w:ascii="仿宋" w:hAnsi="仿宋" w:eastAsia="仿宋" w:cs="仿宋"/>
                <w:b w:val="0"/>
                <w:bCs w:val="0"/>
                <w:kern w:val="0"/>
                <w:sz w:val="20"/>
                <w:szCs w:val="20"/>
                <w:lang w:val="en-US" w:eastAsia="zh-CN"/>
              </w:rPr>
              <w:t>元</w:t>
            </w: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xml:space="preserve">    2、</w:t>
            </w:r>
            <w:r>
              <w:rPr>
                <w:rFonts w:hint="eastAsia" w:ascii="仿宋" w:hAnsi="仿宋" w:eastAsia="仿宋" w:cs="仿宋"/>
                <w:b w:val="0"/>
                <w:bCs w:val="0"/>
                <w:kern w:val="0"/>
                <w:sz w:val="20"/>
                <w:szCs w:val="20"/>
                <w:lang w:val="en-US" w:eastAsia="zh-CN"/>
              </w:rPr>
              <w:t>校方责任险</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50700</w:t>
            </w:r>
            <w:r>
              <w:rPr>
                <w:rFonts w:hint="eastAsia" w:ascii="仿宋" w:hAnsi="仿宋" w:eastAsia="仿宋" w:cs="仿宋"/>
                <w:b w:val="0"/>
                <w:bCs w:val="0"/>
                <w:kern w:val="0"/>
                <w:sz w:val="20"/>
                <w:szCs w:val="20"/>
                <w:lang w:val="en-US" w:eastAsia="zh-CN"/>
              </w:rPr>
              <w:t>元</w:t>
            </w:r>
            <w:r>
              <w:rPr>
                <w:rFonts w:hint="eastAsia" w:ascii="仿宋" w:hAnsi="仿宋" w:eastAsia="仿宋" w:cs="仿宋"/>
                <w:b w:val="0"/>
                <w:bCs w:val="0"/>
                <w:kern w:val="0"/>
                <w:sz w:val="20"/>
                <w:szCs w:val="20"/>
              </w:rPr>
              <w:t>　</w:t>
            </w:r>
          </w:p>
        </w:tc>
      </w:tr>
      <w:tr w14:paraId="59A5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367968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w:t>
            </w:r>
            <w:r>
              <w:rPr>
                <w:rFonts w:hint="eastAsia" w:ascii="仿宋" w:hAnsi="仿宋" w:eastAsia="仿宋" w:cs="仿宋"/>
                <w:b w:val="0"/>
                <w:bCs w:val="0"/>
                <w:kern w:val="0"/>
                <w:sz w:val="20"/>
                <w:szCs w:val="20"/>
                <w:lang w:val="en-US" w:eastAsia="zh-CN"/>
              </w:rPr>
              <w:t xml:space="preserve">  </w:t>
            </w:r>
            <w:r>
              <w:rPr>
                <w:rFonts w:hint="eastAsia" w:ascii="仿宋" w:hAnsi="仿宋" w:eastAsia="仿宋" w:cs="仿宋"/>
                <w:b w:val="0"/>
                <w:bCs w:val="0"/>
                <w:kern w:val="0"/>
                <w:sz w:val="20"/>
                <w:szCs w:val="20"/>
              </w:rPr>
              <w:t xml:space="preserve"> </w:t>
            </w:r>
            <w:r>
              <w:rPr>
                <w:rFonts w:hint="eastAsia" w:ascii="仿宋" w:hAnsi="仿宋" w:eastAsia="仿宋" w:cs="仿宋"/>
                <w:b w:val="0"/>
                <w:bCs w:val="0"/>
                <w:kern w:val="0"/>
                <w:sz w:val="20"/>
                <w:szCs w:val="20"/>
                <w:lang w:val="en-US" w:eastAsia="zh-CN"/>
              </w:rPr>
              <w:t>3</w:t>
            </w:r>
            <w:r>
              <w:rPr>
                <w:rFonts w:hint="eastAsia" w:ascii="仿宋" w:hAnsi="仿宋" w:eastAsia="仿宋" w:cs="仿宋"/>
                <w:b w:val="0"/>
                <w:bCs w:val="0"/>
                <w:kern w:val="0"/>
                <w:sz w:val="20"/>
                <w:szCs w:val="20"/>
              </w:rPr>
              <w:t>、</w:t>
            </w:r>
            <w:r>
              <w:rPr>
                <w:rFonts w:hint="eastAsia" w:ascii="仿宋" w:hAnsi="仿宋" w:eastAsia="仿宋" w:cs="仿宋"/>
                <w:b w:val="0"/>
                <w:bCs w:val="0"/>
                <w:kern w:val="0"/>
                <w:sz w:val="20"/>
                <w:szCs w:val="20"/>
                <w:lang w:val="en-US" w:eastAsia="zh-CN"/>
              </w:rPr>
              <w:t>课后服务</w:t>
            </w:r>
          </w:p>
        </w:tc>
        <w:tc>
          <w:tcPr>
            <w:tcW w:w="2038" w:type="dxa"/>
            <w:gridSpan w:val="2"/>
            <w:noWrap w:val="0"/>
            <w:vAlign w:val="center"/>
          </w:tcPr>
          <w:p w14:paraId="315BE1A7">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0C6D6C2E">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CC4074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4105100</w:t>
            </w:r>
            <w:r>
              <w:rPr>
                <w:rFonts w:hint="eastAsia" w:ascii="仿宋" w:hAnsi="仿宋" w:eastAsia="仿宋" w:cs="仿宋"/>
                <w:b w:val="0"/>
                <w:bCs w:val="0"/>
                <w:kern w:val="0"/>
                <w:sz w:val="20"/>
                <w:szCs w:val="20"/>
                <w:lang w:val="en-US" w:eastAsia="zh-CN"/>
              </w:rPr>
              <w:t>元</w:t>
            </w: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widowControl/>
              <w:jc w:val="center"/>
              <w:rPr>
                <w:rFonts w:hint="default" w:ascii="仿宋" w:hAnsi="仿宋" w:eastAsia="仿宋" w:cs="仿宋"/>
                <w:b w:val="0"/>
                <w:bCs w:val="0"/>
                <w:kern w:val="0"/>
                <w:sz w:val="20"/>
                <w:szCs w:val="20"/>
                <w:lang w:val="en-US"/>
              </w:rPr>
            </w:pP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1206700元</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897539.65</w:t>
            </w:r>
            <w:r>
              <w:rPr>
                <w:rFonts w:hint="eastAsia" w:ascii="仿宋" w:hAnsi="仿宋" w:eastAsia="仿宋" w:cs="仿宋"/>
                <w:b w:val="0"/>
                <w:bCs w:val="0"/>
                <w:kern w:val="0"/>
                <w:sz w:val="20"/>
                <w:szCs w:val="20"/>
                <w:lang w:val="en-US" w:eastAsia="zh-CN"/>
              </w:rPr>
              <w:t>元</w:t>
            </w: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widowControl/>
              <w:jc w:val="center"/>
              <w:rPr>
                <w:rFonts w:hint="eastAsia" w:ascii="仿宋" w:hAnsi="仿宋" w:eastAsia="仿宋" w:cs="仿宋"/>
                <w:b w:val="0"/>
                <w:bCs w:val="0"/>
                <w:color w:val="FF0000"/>
                <w:kern w:val="0"/>
                <w:sz w:val="20"/>
                <w:szCs w:val="20"/>
              </w:rPr>
            </w:pP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321000元　</w:t>
            </w:r>
          </w:p>
        </w:tc>
        <w:tc>
          <w:tcPr>
            <w:tcW w:w="2240" w:type="dxa"/>
            <w:gridSpan w:val="2"/>
            <w:noWrap w:val="0"/>
            <w:vAlign w:val="center"/>
          </w:tcPr>
          <w:p w14:paraId="4ACED147">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390956.72</w:t>
            </w:r>
            <w:r>
              <w:rPr>
                <w:rFonts w:hint="eastAsia" w:ascii="仿宋" w:hAnsi="仿宋" w:eastAsia="仿宋" w:cs="仿宋"/>
                <w:b w:val="0"/>
                <w:bCs w:val="0"/>
                <w:kern w:val="0"/>
                <w:sz w:val="20"/>
                <w:szCs w:val="20"/>
                <w:lang w:val="en-US" w:eastAsia="zh-CN"/>
              </w:rPr>
              <w:t>元</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widowControl/>
              <w:jc w:val="center"/>
              <w:rPr>
                <w:rFonts w:hint="eastAsia" w:ascii="仿宋" w:hAnsi="仿宋" w:eastAsia="仿宋" w:cs="仿宋"/>
                <w:b w:val="0"/>
                <w:bCs w:val="0"/>
                <w:color w:val="FF0000"/>
                <w:kern w:val="0"/>
                <w:sz w:val="20"/>
                <w:szCs w:val="20"/>
              </w:rPr>
            </w:pP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516700元　</w:t>
            </w:r>
          </w:p>
        </w:tc>
        <w:tc>
          <w:tcPr>
            <w:tcW w:w="2240" w:type="dxa"/>
            <w:gridSpan w:val="2"/>
            <w:noWrap w:val="0"/>
            <w:vAlign w:val="center"/>
          </w:tcPr>
          <w:p w14:paraId="2891DCE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7622164D">
            <w:pPr>
              <w:widowControl/>
              <w:jc w:val="center"/>
              <w:rPr>
                <w:rFonts w:hint="default" w:ascii="仿宋" w:hAnsi="仿宋" w:eastAsia="仿宋" w:cs="仿宋"/>
                <w:b w:val="0"/>
                <w:bCs w:val="0"/>
                <w:color w:val="FF0000"/>
                <w:kern w:val="0"/>
                <w:sz w:val="20"/>
                <w:szCs w:val="20"/>
                <w:lang w:val="en-US"/>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622910.46</w:t>
            </w:r>
            <w:r>
              <w:rPr>
                <w:rFonts w:hint="eastAsia" w:ascii="仿宋" w:hAnsi="仿宋" w:eastAsia="仿宋" w:cs="仿宋"/>
                <w:b w:val="0"/>
                <w:bCs w:val="0"/>
                <w:kern w:val="0"/>
                <w:sz w:val="20"/>
                <w:szCs w:val="20"/>
                <w:lang w:val="en-US" w:eastAsia="zh-CN"/>
              </w:rPr>
              <w:t>元</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color w:val="FF0000"/>
                <w:kern w:val="0"/>
                <w:sz w:val="20"/>
                <w:szCs w:val="20"/>
              </w:rPr>
            </w:pP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186700元　</w:t>
            </w:r>
          </w:p>
        </w:tc>
        <w:tc>
          <w:tcPr>
            <w:tcW w:w="2240" w:type="dxa"/>
            <w:gridSpan w:val="2"/>
            <w:noWrap w:val="0"/>
            <w:vAlign w:val="center"/>
          </w:tcPr>
          <w:p w14:paraId="18A83968">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53154</w:t>
            </w:r>
            <w:r>
              <w:rPr>
                <w:rFonts w:hint="eastAsia" w:ascii="仿宋" w:hAnsi="仿宋" w:eastAsia="仿宋" w:cs="仿宋"/>
                <w:b w:val="0"/>
                <w:bCs w:val="0"/>
                <w:kern w:val="0"/>
                <w:sz w:val="20"/>
                <w:szCs w:val="20"/>
                <w:lang w:val="en-US" w:eastAsia="zh-CN"/>
              </w:rPr>
              <w:t>元</w:t>
            </w:r>
            <w:r>
              <w:rPr>
                <w:rFonts w:hint="eastAsia" w:ascii="仿宋" w:hAnsi="仿宋" w:eastAsia="仿宋" w:cs="仿宋"/>
                <w:b w:val="0"/>
                <w:bCs w:val="0"/>
                <w:color w:val="FF0000"/>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2914959.49</w:t>
            </w:r>
            <w:r>
              <w:rPr>
                <w:rFonts w:hint="eastAsia" w:ascii="仿宋" w:hAnsi="仿宋" w:eastAsia="仿宋" w:cs="仿宋"/>
                <w:b w:val="0"/>
                <w:bCs w:val="0"/>
                <w:kern w:val="0"/>
                <w:sz w:val="20"/>
                <w:szCs w:val="20"/>
                <w:lang w:val="en-US" w:eastAsia="zh-CN"/>
              </w:rPr>
              <w:t>元</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无</w:t>
            </w: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无</w:t>
            </w:r>
            <w:r>
              <w:rPr>
                <w:rFonts w:hint="eastAsia" w:ascii="仿宋" w:hAnsi="仿宋" w:eastAsia="仿宋" w:cs="仿宋"/>
                <w:b w:val="0"/>
                <w:bCs w:val="0"/>
                <w:kern w:val="0"/>
                <w:sz w:val="20"/>
                <w:szCs w:val="20"/>
              </w:rPr>
              <w:t>　</w:t>
            </w:r>
          </w:p>
        </w:tc>
        <w:tc>
          <w:tcPr>
            <w:tcW w:w="1129" w:type="dxa"/>
            <w:noWrap w:val="0"/>
            <w:vAlign w:val="center"/>
          </w:tcPr>
          <w:p w14:paraId="7F8628F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无</w:t>
            </w:r>
            <w:r>
              <w:rPr>
                <w:rFonts w:hint="eastAsia" w:ascii="仿宋" w:hAnsi="仿宋" w:eastAsia="仿宋" w:cs="仿宋"/>
                <w:b w:val="0"/>
                <w:bCs w:val="0"/>
                <w:kern w:val="0"/>
                <w:sz w:val="20"/>
                <w:szCs w:val="20"/>
              </w:rPr>
              <w:t>　</w:t>
            </w:r>
          </w:p>
        </w:tc>
        <w:tc>
          <w:tcPr>
            <w:tcW w:w="1111" w:type="dxa"/>
            <w:noWrap w:val="0"/>
            <w:vAlign w:val="center"/>
          </w:tcPr>
          <w:p w14:paraId="0EBDDCA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无</w:t>
            </w:r>
            <w:r>
              <w:rPr>
                <w:rFonts w:hint="eastAsia" w:ascii="仿宋" w:hAnsi="仿宋" w:eastAsia="仿宋" w:cs="仿宋"/>
                <w:b w:val="0"/>
                <w:bCs w:val="0"/>
                <w:kern w:val="0"/>
                <w:sz w:val="20"/>
                <w:szCs w:val="20"/>
              </w:rPr>
              <w:t>　</w:t>
            </w:r>
          </w:p>
        </w:tc>
        <w:tc>
          <w:tcPr>
            <w:tcW w:w="969" w:type="dxa"/>
            <w:noWrap w:val="0"/>
            <w:vAlign w:val="center"/>
          </w:tcPr>
          <w:p w14:paraId="090CB1A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无</w:t>
            </w:r>
            <w:r>
              <w:rPr>
                <w:rFonts w:hint="eastAsia" w:ascii="仿宋" w:hAnsi="仿宋" w:eastAsia="仿宋" w:cs="仿宋"/>
                <w:b w:val="0"/>
                <w:bCs w:val="0"/>
                <w:kern w:val="0"/>
                <w:sz w:val="20"/>
                <w:szCs w:val="20"/>
              </w:rPr>
              <w:t>　</w:t>
            </w:r>
          </w:p>
        </w:tc>
        <w:tc>
          <w:tcPr>
            <w:tcW w:w="863" w:type="dxa"/>
            <w:noWrap w:val="0"/>
            <w:vAlign w:val="center"/>
          </w:tcPr>
          <w:p w14:paraId="67F15FF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无</w:t>
            </w:r>
            <w:r>
              <w:rPr>
                <w:rFonts w:hint="eastAsia" w:ascii="仿宋" w:hAnsi="仿宋" w:eastAsia="仿宋" w:cs="仿宋"/>
                <w:b w:val="0"/>
                <w:bCs w:val="0"/>
                <w:kern w:val="0"/>
                <w:sz w:val="20"/>
                <w:szCs w:val="20"/>
              </w:rPr>
              <w:t>　</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bidi="ar-SA"/>
              </w:rPr>
              <w:t>1、节约公共资源，厉行节俭风尚。办公场所室内空调温度设置夏季不低于</w:t>
            </w:r>
            <w:r>
              <w:rPr>
                <w:rFonts w:hint="default" w:ascii="仿宋" w:hAnsi="仿宋" w:eastAsia="仿宋" w:cs="仿宋"/>
                <w:b w:val="0"/>
                <w:bCs w:val="0"/>
                <w:kern w:val="0"/>
                <w:sz w:val="20"/>
                <w:szCs w:val="20"/>
                <w:lang w:val="en-US" w:eastAsia="zh-CN" w:bidi="ar-SA"/>
              </w:rPr>
              <w:t>26度、冬季不高于20度。严格执行人走灯熄，下班关闭电脑、打印机等设备。注意节约公共用电、用水和用纸，避免造成浪费。</w:t>
            </w:r>
            <w:r>
              <w:rPr>
                <w:rFonts w:hint="eastAsia" w:ascii="仿宋" w:hAnsi="仿宋" w:eastAsia="仿宋" w:cs="仿宋"/>
                <w:b w:val="0"/>
                <w:bCs w:val="0"/>
                <w:kern w:val="0"/>
                <w:sz w:val="20"/>
                <w:szCs w:val="20"/>
                <w:lang w:val="en-US" w:eastAsia="zh-CN" w:bidi="ar-SA"/>
              </w:rPr>
              <w:t>2、</w:t>
            </w:r>
            <w:r>
              <w:rPr>
                <w:rFonts w:hint="default" w:ascii="仿宋" w:hAnsi="仿宋" w:eastAsia="仿宋" w:cs="仿宋"/>
                <w:b w:val="0"/>
                <w:bCs w:val="0"/>
                <w:kern w:val="0"/>
                <w:sz w:val="20"/>
                <w:szCs w:val="20"/>
                <w:lang w:val="en-US" w:eastAsia="zh-CN" w:bidi="ar-SA"/>
              </w:rPr>
              <w:t>严控资产购置，提高资产使用效率。提高办公家具、办公设备等资产的利用效率，已到更新年限但尚能继续使用的，不得报废处置。未到报废年限，如有毁损的优先考虑维修维护。</w:t>
            </w:r>
            <w:r>
              <w:rPr>
                <w:rFonts w:ascii="Times New Roman" w:hAnsi="Times New Roman" w:eastAsia="仿宋_GB2312" w:cs="Times New Roman"/>
                <w:sz w:val="20"/>
                <w:szCs w:val="20"/>
              </w:rPr>
              <w:t>　</w:t>
            </w:r>
            <w:r>
              <w:rPr>
                <w:rFonts w:hint="eastAsia" w:ascii="仿宋" w:hAnsi="仿宋" w:eastAsia="仿宋" w:cs="仿宋"/>
                <w:b w:val="0"/>
                <w:bCs w:val="0"/>
                <w:kern w:val="0"/>
                <w:sz w:val="20"/>
                <w:szCs w:val="20"/>
              </w:rPr>
              <w:t>　　</w:t>
            </w:r>
          </w:p>
        </w:tc>
      </w:tr>
    </w:tbl>
    <w:p w14:paraId="00F6D30B">
      <w:pPr>
        <w:pStyle w:val="13"/>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丁当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2025年6月10日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18244807558</w:t>
      </w:r>
    </w:p>
    <w:p w14:paraId="5D0A206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0"/>
        <w:gridCol w:w="943"/>
        <w:gridCol w:w="910"/>
        <w:gridCol w:w="1316"/>
        <w:gridCol w:w="81"/>
        <w:gridCol w:w="1316"/>
        <w:gridCol w:w="1316"/>
        <w:gridCol w:w="650"/>
        <w:gridCol w:w="716"/>
        <w:gridCol w:w="954"/>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72"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90"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怀化市实验小学</w:t>
            </w:r>
            <w:r>
              <w:rPr>
                <w:rFonts w:hint="eastAsia" w:ascii="仿宋" w:hAnsi="仿宋" w:eastAsia="仿宋" w:cs="仿宋"/>
                <w:color w:val="000000"/>
                <w:kern w:val="0"/>
                <w:sz w:val="20"/>
                <w:szCs w:val="20"/>
              </w:rPr>
              <w:t>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72"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（元）</w:t>
            </w:r>
          </w:p>
        </w:tc>
        <w:tc>
          <w:tcPr>
            <w:tcW w:w="1903"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316"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401"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316"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57"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16"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981"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903"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316"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34623112.55</w:t>
            </w:r>
          </w:p>
        </w:tc>
        <w:tc>
          <w:tcPr>
            <w:tcW w:w="1401"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34070367.54</w:t>
            </w:r>
          </w:p>
        </w:tc>
        <w:tc>
          <w:tcPr>
            <w:tcW w:w="1316"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34070367.54</w:t>
            </w:r>
          </w:p>
        </w:tc>
        <w:tc>
          <w:tcPr>
            <w:tcW w:w="657"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eastAsia="zh-CN"/>
              </w:rPr>
            </w:pPr>
            <w:r>
              <w:rPr>
                <w:rFonts w:hint="eastAsia" w:ascii="仿宋" w:hAnsi="仿宋" w:eastAsia="仿宋" w:cs="仿宋"/>
                <w:sz w:val="20"/>
                <w:szCs w:val="20"/>
                <w:lang w:val="en-US" w:eastAsia="zh-CN"/>
              </w:rPr>
              <w:t>9</w:t>
            </w:r>
          </w:p>
        </w:tc>
        <w:tc>
          <w:tcPr>
            <w:tcW w:w="616"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lang w:val="en-US" w:eastAsia="zh-CN"/>
              </w:rPr>
              <w:t>98.4%</w:t>
            </w:r>
          </w:p>
        </w:tc>
        <w:tc>
          <w:tcPr>
            <w:tcW w:w="981"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lang w:val="en-US" w:eastAsia="zh-CN"/>
              </w:rPr>
              <w:t>10</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20"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570"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20"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一般公共预算：29836758.95</w:t>
            </w:r>
          </w:p>
        </w:tc>
        <w:tc>
          <w:tcPr>
            <w:tcW w:w="3570"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其中：基本支出：25861779.14</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20"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r>
              <w:rPr>
                <w:rFonts w:hint="eastAsia" w:ascii="仿宋" w:hAnsi="仿宋" w:eastAsia="仿宋" w:cs="仿宋"/>
                <w:color w:val="000000"/>
                <w:kern w:val="0"/>
                <w:sz w:val="20"/>
                <w:szCs w:val="20"/>
                <w:lang w:val="en-US" w:eastAsia="zh-CN"/>
              </w:rPr>
              <w:t>0</w:t>
            </w:r>
          </w:p>
        </w:tc>
        <w:tc>
          <w:tcPr>
            <w:tcW w:w="3570"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项目支出：8208588.4</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20"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纳入专户管理的非税收入拨款：4105100</w:t>
            </w:r>
          </w:p>
        </w:tc>
        <w:tc>
          <w:tcPr>
            <w:tcW w:w="3570"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72"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20"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其他资金：128508.59</w:t>
            </w:r>
          </w:p>
        </w:tc>
        <w:tc>
          <w:tcPr>
            <w:tcW w:w="3570"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72"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20"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70"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072"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20" w:type="dxa"/>
            <w:gridSpan w:val="5"/>
            <w:noWrap w:val="0"/>
            <w:vAlign w:val="center"/>
          </w:tcPr>
          <w:p w14:paraId="5ECC20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将立德树人视为工作之根本，将育人始终贯穿在我们的教育教学之中，形成全员育人，处处育人的氛围，严格遵循五项管理的要求，为学生健康成长奠定基础</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　</w:t>
            </w:r>
          </w:p>
        </w:tc>
        <w:tc>
          <w:tcPr>
            <w:tcW w:w="3570" w:type="dxa"/>
            <w:gridSpan w:val="4"/>
            <w:noWrap w:val="0"/>
            <w:vAlign w:val="center"/>
          </w:tcPr>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保质保量完成各项目的前提下，科学有效地控制了各项目支出的成本。</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072"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969"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934"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01"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316"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316"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57"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16"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981"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072"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69"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934"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401"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部门整体支出</w:t>
            </w:r>
          </w:p>
        </w:tc>
        <w:tc>
          <w:tcPr>
            <w:tcW w:w="1316" w:type="dxa"/>
            <w:shd w:val="clear" w:color="auto" w:fill="auto"/>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rPr>
              <w:t>34623112.55</w:t>
            </w:r>
          </w:p>
        </w:tc>
        <w:tc>
          <w:tcPr>
            <w:tcW w:w="1316"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sz w:val="20"/>
                <w:szCs w:val="20"/>
              </w:rPr>
              <w:t>34070367.54</w:t>
            </w:r>
          </w:p>
        </w:tc>
        <w:tc>
          <w:tcPr>
            <w:tcW w:w="657"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w:t>
            </w:r>
          </w:p>
        </w:tc>
        <w:tc>
          <w:tcPr>
            <w:tcW w:w="981"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72"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69"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34"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401"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教育成本节约</w:t>
            </w:r>
          </w:p>
        </w:tc>
        <w:tc>
          <w:tcPr>
            <w:tcW w:w="1316"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1316"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657"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81"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072"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69"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34" w:type="dxa"/>
            <w:noWrap w:val="0"/>
            <w:vAlign w:val="center"/>
          </w:tcPr>
          <w:p w14:paraId="02F3E08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3629ED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401"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招生学生人数</w:t>
            </w:r>
          </w:p>
        </w:tc>
        <w:tc>
          <w:tcPr>
            <w:tcW w:w="1316"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3000</w:t>
            </w:r>
          </w:p>
        </w:tc>
        <w:tc>
          <w:tcPr>
            <w:tcW w:w="1316"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3420</w:t>
            </w:r>
          </w:p>
        </w:tc>
        <w:tc>
          <w:tcPr>
            <w:tcW w:w="657"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616"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981"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72"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69"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34" w:type="dxa"/>
            <w:noWrap w:val="0"/>
            <w:vAlign w:val="center"/>
          </w:tcPr>
          <w:p w14:paraId="1C8C79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5C10CD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401"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基本教学任务完成率</w:t>
            </w:r>
          </w:p>
        </w:tc>
        <w:tc>
          <w:tcPr>
            <w:tcW w:w="1316"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316"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657"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616"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981"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72"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69"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34" w:type="dxa"/>
            <w:noWrap w:val="0"/>
            <w:vAlign w:val="center"/>
          </w:tcPr>
          <w:p w14:paraId="3DCB33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7BF37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401"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316"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2024年底完成</w:t>
            </w:r>
          </w:p>
        </w:tc>
        <w:tc>
          <w:tcPr>
            <w:tcW w:w="1316"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完成目标</w:t>
            </w:r>
          </w:p>
        </w:tc>
        <w:tc>
          <w:tcPr>
            <w:tcW w:w="657"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616"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981"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072"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69"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34"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01"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非税收入</w:t>
            </w:r>
          </w:p>
        </w:tc>
        <w:tc>
          <w:tcPr>
            <w:tcW w:w="1316"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500万元</w:t>
            </w:r>
          </w:p>
        </w:tc>
        <w:tc>
          <w:tcPr>
            <w:tcW w:w="1316"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410.51万元</w:t>
            </w:r>
          </w:p>
        </w:tc>
        <w:tc>
          <w:tcPr>
            <w:tcW w:w="657"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15</w:t>
            </w:r>
          </w:p>
        </w:tc>
        <w:tc>
          <w:tcPr>
            <w:tcW w:w="616"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15</w:t>
            </w:r>
          </w:p>
        </w:tc>
        <w:tc>
          <w:tcPr>
            <w:tcW w:w="981"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72"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69"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34"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01"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提升义务制教学水平，促进教学发展</w:t>
            </w:r>
          </w:p>
        </w:tc>
        <w:tc>
          <w:tcPr>
            <w:tcW w:w="1316"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316"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完成目标</w:t>
            </w:r>
          </w:p>
        </w:tc>
        <w:tc>
          <w:tcPr>
            <w:tcW w:w="657"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616"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981"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072"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69"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34"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01"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持续促进小学义务制教育发展</w:t>
            </w:r>
          </w:p>
        </w:tc>
        <w:tc>
          <w:tcPr>
            <w:tcW w:w="1316"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316"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完成目标</w:t>
            </w:r>
          </w:p>
        </w:tc>
        <w:tc>
          <w:tcPr>
            <w:tcW w:w="657"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616"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981"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072"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69"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34"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401"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316"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316"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657"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616"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981"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08"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57"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16"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981"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5C935AB">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丁当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2025年6月10日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18244807558</w:t>
      </w:r>
    </w:p>
    <w:p w14:paraId="7FF7D1BE">
      <w:pPr>
        <w:rPr>
          <w:rFonts w:hint="default"/>
          <w:lang w:val="en-US" w:eastAsia="zh-CN"/>
        </w:rPr>
      </w:pPr>
      <w:r>
        <w:rPr>
          <w:rFonts w:hint="default"/>
          <w:lang w:val="en-US" w:eastAsia="zh-CN"/>
        </w:rPr>
        <w:br w:type="page"/>
      </w:r>
    </w:p>
    <w:p w14:paraId="082BD1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校方责任险</w:t>
            </w:r>
            <w:r>
              <w:rPr>
                <w:rFonts w:hint="eastAsia" w:ascii="仿宋" w:hAnsi="仿宋" w:eastAsia="仿宋" w:cs="仿宋"/>
                <w:color w:val="000000"/>
                <w:kern w:val="0"/>
                <w:sz w:val="20"/>
                <w:szCs w:val="20"/>
              </w:rPr>
              <w:t>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怀化市实验小学</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5.07</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5.07</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5.07</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5.07</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5.07</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5.07</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1.用于转移学校风险，减少经济危害，保障学校利益；2.校方责任险按时按量支付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完成目标</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5.07</w:t>
            </w:r>
            <w:bookmarkStart w:id="0" w:name="_GoBack"/>
            <w:bookmarkEnd w:id="0"/>
            <w:r>
              <w:rPr>
                <w:rFonts w:hint="eastAsia" w:ascii="仿宋" w:hAnsi="仿宋" w:eastAsia="仿宋" w:cs="仿宋"/>
                <w:color w:val="000000"/>
                <w:kern w:val="0"/>
                <w:sz w:val="20"/>
                <w:szCs w:val="20"/>
                <w:lang w:val="en-US" w:eastAsia="zh-CN"/>
              </w:rPr>
              <w:t>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5.07万元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保险赔付节约</w:t>
            </w:r>
          </w:p>
        </w:tc>
        <w:tc>
          <w:tcPr>
            <w:tcW w:w="1209" w:type="dxa"/>
            <w:noWrap w:val="0"/>
            <w:vAlign w:val="center"/>
          </w:tcPr>
          <w:p w14:paraId="6EDF71BD">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合同约定价格</w:t>
            </w: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保险受益学生人数</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3000人</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3420人</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保险赔付率</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rPr>
              <w:t>年12月之前完成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按目标完成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保障校园安全</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按目标完成</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保障校园安全</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按目标完成</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学生和</w:t>
            </w:r>
            <w:r>
              <w:rPr>
                <w:rFonts w:hint="eastAsia" w:ascii="仿宋" w:hAnsi="仿宋" w:eastAsia="仿宋" w:cs="仿宋"/>
                <w:color w:val="000000"/>
                <w:kern w:val="0"/>
                <w:sz w:val="20"/>
                <w:szCs w:val="20"/>
                <w:lang w:val="en-US" w:eastAsia="zh-CN"/>
              </w:rPr>
              <w:t>家长</w:t>
            </w:r>
            <w:r>
              <w:rPr>
                <w:rFonts w:hint="eastAsia" w:ascii="仿宋" w:hAnsi="仿宋" w:eastAsia="仿宋" w:cs="仿宋"/>
                <w:color w:val="000000"/>
                <w:kern w:val="0"/>
                <w:sz w:val="20"/>
                <w:szCs w:val="20"/>
              </w:rPr>
              <w:t>满意</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bl>
    <w:p w14:paraId="09F82116">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丁当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2025年6月10日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18244807558</w:t>
      </w:r>
    </w:p>
    <w:p w14:paraId="62CB16C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60AB20E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316E7F3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附件3</w:t>
      </w:r>
    </w:p>
    <w:p w14:paraId="03343EA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4FDA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14:paraId="4CBFFC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787596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4F67A7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保安经费</w:t>
            </w:r>
          </w:p>
        </w:tc>
      </w:tr>
      <w:tr w14:paraId="6D35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6EC71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FBB6A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65F061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BD65C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怀化市实验小学</w:t>
            </w:r>
          </w:p>
        </w:tc>
      </w:tr>
      <w:tr w14:paraId="2721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EE795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34129A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14:paraId="3C3FF7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37F23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A06E2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F20F0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2097F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39D2CF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0CCE2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64E57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07A78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63D8C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168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E7EA4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A32C6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02BC4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21.73</w:t>
            </w:r>
          </w:p>
        </w:tc>
        <w:tc>
          <w:tcPr>
            <w:tcW w:w="1209" w:type="dxa"/>
            <w:noWrap w:val="0"/>
            <w:vAlign w:val="center"/>
          </w:tcPr>
          <w:p w14:paraId="6C4008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21.73</w:t>
            </w:r>
          </w:p>
        </w:tc>
        <w:tc>
          <w:tcPr>
            <w:tcW w:w="1134" w:type="dxa"/>
            <w:noWrap w:val="0"/>
            <w:vAlign w:val="center"/>
          </w:tcPr>
          <w:p w14:paraId="1ED2A8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21.73</w:t>
            </w:r>
          </w:p>
        </w:tc>
        <w:tc>
          <w:tcPr>
            <w:tcW w:w="828" w:type="dxa"/>
            <w:noWrap w:val="0"/>
            <w:vAlign w:val="center"/>
          </w:tcPr>
          <w:p w14:paraId="0F298C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5565AA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3BB8C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25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6D8E4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DF0BF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DA949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21.73</w:t>
            </w:r>
          </w:p>
        </w:tc>
        <w:tc>
          <w:tcPr>
            <w:tcW w:w="1209" w:type="dxa"/>
            <w:noWrap w:val="0"/>
            <w:vAlign w:val="center"/>
          </w:tcPr>
          <w:p w14:paraId="6B8C4B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21.73</w:t>
            </w:r>
          </w:p>
        </w:tc>
        <w:tc>
          <w:tcPr>
            <w:tcW w:w="1134" w:type="dxa"/>
            <w:noWrap w:val="0"/>
            <w:vAlign w:val="center"/>
          </w:tcPr>
          <w:p w14:paraId="47C4CC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21.73</w:t>
            </w:r>
          </w:p>
        </w:tc>
        <w:tc>
          <w:tcPr>
            <w:tcW w:w="828" w:type="dxa"/>
            <w:noWrap w:val="0"/>
            <w:vAlign w:val="center"/>
          </w:tcPr>
          <w:p w14:paraId="0A25E8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93348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08A80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CE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C8D44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DB6492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FB0D9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6EE83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0AFE2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52C07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3D020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1D25D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31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B6472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D0C955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89767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7DB0B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F06B2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D0367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2BAFA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36D4C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222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F7F48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28417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1084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F37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4A65A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83D96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1、用于保障学校区域内全体师生的人身安全，正常工作秩序、治安秩序，防范于未然；2、校园保安经费按时按量支付。　　</w:t>
            </w:r>
          </w:p>
        </w:tc>
        <w:tc>
          <w:tcPr>
            <w:tcW w:w="4253" w:type="dxa"/>
            <w:gridSpan w:val="4"/>
            <w:noWrap w:val="0"/>
            <w:vAlign w:val="center"/>
          </w:tcPr>
          <w:p w14:paraId="23A629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完成目标</w:t>
            </w:r>
          </w:p>
        </w:tc>
      </w:tr>
      <w:tr w14:paraId="3BFE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BABCA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560B4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47142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68037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1A3FF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F1405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D57C8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AF89F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81A8C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B8A80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B0B19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1458A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FD3CE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25C9B5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A4130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445F6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C8B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210DE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6D689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F7822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80C98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53066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21.73</w:t>
            </w:r>
          </w:p>
        </w:tc>
        <w:tc>
          <w:tcPr>
            <w:tcW w:w="1134" w:type="dxa"/>
            <w:noWrap w:val="0"/>
            <w:vAlign w:val="center"/>
          </w:tcPr>
          <w:p w14:paraId="57F750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21.73</w:t>
            </w:r>
          </w:p>
        </w:tc>
        <w:tc>
          <w:tcPr>
            <w:tcW w:w="828" w:type="dxa"/>
            <w:noWrap w:val="0"/>
            <w:vAlign w:val="center"/>
          </w:tcPr>
          <w:p w14:paraId="54EB3A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7268E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D6923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168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AACCC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2FB61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696CF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94AB4C4">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校园安全事故处理成本降低</w:t>
            </w:r>
          </w:p>
        </w:tc>
        <w:tc>
          <w:tcPr>
            <w:tcW w:w="1209" w:type="dxa"/>
            <w:noWrap w:val="0"/>
            <w:vAlign w:val="center"/>
          </w:tcPr>
          <w:p w14:paraId="228848DA">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0</w:t>
            </w:r>
          </w:p>
        </w:tc>
        <w:tc>
          <w:tcPr>
            <w:tcW w:w="1134" w:type="dxa"/>
            <w:noWrap w:val="0"/>
            <w:vAlign w:val="center"/>
          </w:tcPr>
          <w:p w14:paraId="332F3F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65263C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002FB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6216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E9C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A8051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E25AD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E73D3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EB2D6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B7F2D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配备保安人数</w:t>
            </w:r>
          </w:p>
        </w:tc>
        <w:tc>
          <w:tcPr>
            <w:tcW w:w="1209" w:type="dxa"/>
            <w:noWrap w:val="0"/>
            <w:vAlign w:val="center"/>
          </w:tcPr>
          <w:p w14:paraId="3B0859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6人</w:t>
            </w:r>
          </w:p>
        </w:tc>
        <w:tc>
          <w:tcPr>
            <w:tcW w:w="1134" w:type="dxa"/>
            <w:noWrap w:val="0"/>
            <w:vAlign w:val="center"/>
          </w:tcPr>
          <w:p w14:paraId="304158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6人</w:t>
            </w:r>
          </w:p>
        </w:tc>
        <w:tc>
          <w:tcPr>
            <w:tcW w:w="828" w:type="dxa"/>
            <w:noWrap w:val="0"/>
            <w:vAlign w:val="center"/>
          </w:tcPr>
          <w:p w14:paraId="51ECBA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22053B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E5AC6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63F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3B028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2D51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2CD18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484C16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安全事故发生率</w:t>
            </w:r>
          </w:p>
        </w:tc>
        <w:tc>
          <w:tcPr>
            <w:tcW w:w="1209" w:type="dxa"/>
            <w:noWrap w:val="0"/>
            <w:vAlign w:val="center"/>
          </w:tcPr>
          <w:p w14:paraId="010C3D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34" w:type="dxa"/>
            <w:noWrap w:val="0"/>
            <w:vAlign w:val="center"/>
          </w:tcPr>
          <w:p w14:paraId="49EAD6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28" w:type="dxa"/>
            <w:noWrap w:val="0"/>
            <w:vAlign w:val="center"/>
          </w:tcPr>
          <w:p w14:paraId="11E5EA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42B010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712A90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86B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240D4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16F71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E6BC1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CA2DE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2A2ECB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rPr>
              <w:t>年12月之前完成　</w:t>
            </w:r>
          </w:p>
        </w:tc>
        <w:tc>
          <w:tcPr>
            <w:tcW w:w="1134" w:type="dxa"/>
            <w:noWrap w:val="0"/>
            <w:vAlign w:val="center"/>
          </w:tcPr>
          <w:p w14:paraId="2A265B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按目标完成</w:t>
            </w:r>
          </w:p>
        </w:tc>
        <w:tc>
          <w:tcPr>
            <w:tcW w:w="828" w:type="dxa"/>
            <w:noWrap w:val="0"/>
            <w:vAlign w:val="center"/>
          </w:tcPr>
          <w:p w14:paraId="478105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687E1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4FD0B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52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FD5C8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C389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D4B42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F3917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64F55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保障校园安全</w:t>
            </w:r>
          </w:p>
        </w:tc>
        <w:tc>
          <w:tcPr>
            <w:tcW w:w="1209" w:type="dxa"/>
            <w:noWrap w:val="0"/>
            <w:vAlign w:val="center"/>
          </w:tcPr>
          <w:p w14:paraId="225C5D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6E5B3D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按目标完成</w:t>
            </w:r>
          </w:p>
        </w:tc>
        <w:tc>
          <w:tcPr>
            <w:tcW w:w="828" w:type="dxa"/>
            <w:noWrap w:val="0"/>
            <w:vAlign w:val="center"/>
          </w:tcPr>
          <w:p w14:paraId="6F0793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1FBA43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6B92FC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83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82949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1EB66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09FE6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05EA5B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促进校园安全</w:t>
            </w:r>
          </w:p>
        </w:tc>
        <w:tc>
          <w:tcPr>
            <w:tcW w:w="1209" w:type="dxa"/>
            <w:noWrap w:val="0"/>
            <w:vAlign w:val="center"/>
          </w:tcPr>
          <w:p w14:paraId="0348CD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563DCD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按目标完成</w:t>
            </w:r>
          </w:p>
        </w:tc>
        <w:tc>
          <w:tcPr>
            <w:tcW w:w="828" w:type="dxa"/>
            <w:noWrap w:val="0"/>
            <w:vAlign w:val="center"/>
          </w:tcPr>
          <w:p w14:paraId="11E5EC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78DE03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13D492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E9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FAF63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32C57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F3817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642F1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1868D8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0D22E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师生满意度</w:t>
            </w:r>
          </w:p>
        </w:tc>
        <w:tc>
          <w:tcPr>
            <w:tcW w:w="1209" w:type="dxa"/>
            <w:noWrap w:val="0"/>
            <w:vAlign w:val="center"/>
          </w:tcPr>
          <w:p w14:paraId="1797F0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7311A8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0A022E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7F89E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7E6AE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24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AA61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13850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73" w:type="dxa"/>
            <w:noWrap w:val="0"/>
            <w:vAlign w:val="center"/>
          </w:tcPr>
          <w:p w14:paraId="2E146A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C012E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40EB6DB">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丁当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2025年6月10日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18244807558</w:t>
      </w:r>
    </w:p>
    <w:p w14:paraId="237C5F8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附件3</w:t>
      </w:r>
    </w:p>
    <w:p w14:paraId="6C51117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F7B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14:paraId="3C779B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30DE9E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5345B5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学校电线线路改造，寻梦楼一楼地面及污水池维修</w:t>
            </w:r>
          </w:p>
        </w:tc>
      </w:tr>
      <w:tr w14:paraId="00FF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C1573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D018A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347D22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482F4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怀化市实验小学</w:t>
            </w:r>
          </w:p>
        </w:tc>
      </w:tr>
      <w:tr w14:paraId="3ED6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B5E74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50FB3A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14:paraId="4DD119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D4DF4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0560F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1E2B4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0FC04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E358A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54C9A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11421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8E46C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ABA15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ED7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AB6AC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AF41B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F6DE7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80</w:t>
            </w:r>
          </w:p>
        </w:tc>
        <w:tc>
          <w:tcPr>
            <w:tcW w:w="1209" w:type="dxa"/>
            <w:noWrap w:val="0"/>
            <w:vAlign w:val="center"/>
          </w:tcPr>
          <w:p w14:paraId="35BA0F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80</w:t>
            </w:r>
          </w:p>
        </w:tc>
        <w:tc>
          <w:tcPr>
            <w:tcW w:w="1134" w:type="dxa"/>
            <w:noWrap w:val="0"/>
            <w:vAlign w:val="center"/>
          </w:tcPr>
          <w:p w14:paraId="0461FE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73.71</w:t>
            </w:r>
          </w:p>
        </w:tc>
        <w:tc>
          <w:tcPr>
            <w:tcW w:w="828" w:type="dxa"/>
            <w:noWrap w:val="0"/>
            <w:vAlign w:val="center"/>
          </w:tcPr>
          <w:p w14:paraId="037FF2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w:t>
            </w:r>
          </w:p>
        </w:tc>
        <w:tc>
          <w:tcPr>
            <w:tcW w:w="873" w:type="dxa"/>
            <w:noWrap w:val="0"/>
            <w:vAlign w:val="center"/>
          </w:tcPr>
          <w:p w14:paraId="33DC49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92%</w:t>
            </w:r>
          </w:p>
        </w:tc>
        <w:tc>
          <w:tcPr>
            <w:tcW w:w="1418" w:type="dxa"/>
            <w:noWrap w:val="0"/>
            <w:vAlign w:val="center"/>
          </w:tcPr>
          <w:p w14:paraId="709FB1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60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EE442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2A644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4FE17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80</w:t>
            </w:r>
          </w:p>
        </w:tc>
        <w:tc>
          <w:tcPr>
            <w:tcW w:w="1209" w:type="dxa"/>
            <w:noWrap w:val="0"/>
            <w:vAlign w:val="center"/>
          </w:tcPr>
          <w:p w14:paraId="2CB0AD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80</w:t>
            </w:r>
          </w:p>
        </w:tc>
        <w:tc>
          <w:tcPr>
            <w:tcW w:w="1134" w:type="dxa"/>
            <w:noWrap w:val="0"/>
            <w:vAlign w:val="center"/>
          </w:tcPr>
          <w:p w14:paraId="667EE8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73.71</w:t>
            </w:r>
          </w:p>
        </w:tc>
        <w:tc>
          <w:tcPr>
            <w:tcW w:w="828" w:type="dxa"/>
            <w:noWrap w:val="0"/>
            <w:vAlign w:val="center"/>
          </w:tcPr>
          <w:p w14:paraId="27437A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4A94E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5B406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BF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740EB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BA675D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33EE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75403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F8A67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42607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0C030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F4874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713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D722D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18DF73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73776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AA1F3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34777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F034E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CE352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DD59A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74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3532D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9DADF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5506F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AB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35A92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39151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用于保障学校区域内</w:t>
            </w:r>
            <w:r>
              <w:rPr>
                <w:rFonts w:hint="eastAsia" w:ascii="仿宋" w:hAnsi="仿宋" w:eastAsia="仿宋" w:cs="仿宋"/>
                <w:color w:val="000000"/>
                <w:kern w:val="0"/>
                <w:sz w:val="20"/>
                <w:szCs w:val="20"/>
                <w:lang w:val="en-US" w:eastAsia="zh-CN"/>
              </w:rPr>
              <w:t>各项电路设备正常运行，维护</w:t>
            </w:r>
            <w:r>
              <w:rPr>
                <w:rFonts w:hint="eastAsia" w:ascii="仿宋" w:hAnsi="仿宋" w:eastAsia="仿宋" w:cs="仿宋"/>
                <w:color w:val="000000"/>
                <w:kern w:val="0"/>
                <w:sz w:val="20"/>
                <w:szCs w:val="20"/>
              </w:rPr>
              <w:t>正常工作秩序</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防范于未然　</w:t>
            </w:r>
          </w:p>
        </w:tc>
        <w:tc>
          <w:tcPr>
            <w:tcW w:w="4253" w:type="dxa"/>
            <w:gridSpan w:val="4"/>
            <w:noWrap w:val="0"/>
            <w:vAlign w:val="center"/>
          </w:tcPr>
          <w:p w14:paraId="51E59E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完成目标</w:t>
            </w:r>
          </w:p>
        </w:tc>
      </w:tr>
      <w:tr w14:paraId="598F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2D9C6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67CBF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949BF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E80C9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5DAFC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E668B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A1076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E9A84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BBFD9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751DF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CBDEE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689A6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8EF9A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1CDDE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A0A02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B27B6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54D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3B1D8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B234A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4134D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678C13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08572B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80</w:t>
            </w:r>
          </w:p>
        </w:tc>
        <w:tc>
          <w:tcPr>
            <w:tcW w:w="1134" w:type="dxa"/>
            <w:noWrap w:val="0"/>
            <w:vAlign w:val="center"/>
          </w:tcPr>
          <w:p w14:paraId="7FDCA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73.71</w:t>
            </w:r>
          </w:p>
        </w:tc>
        <w:tc>
          <w:tcPr>
            <w:tcW w:w="828" w:type="dxa"/>
            <w:noWrap w:val="0"/>
            <w:vAlign w:val="center"/>
          </w:tcPr>
          <w:p w14:paraId="53B9AB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D8538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w:t>
            </w:r>
          </w:p>
        </w:tc>
        <w:tc>
          <w:tcPr>
            <w:tcW w:w="1418" w:type="dxa"/>
            <w:noWrap w:val="0"/>
            <w:vAlign w:val="center"/>
          </w:tcPr>
          <w:p w14:paraId="5918A3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79A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AA3EA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C764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104BE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27EC49B">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校园安全事故处理成本降低</w:t>
            </w:r>
          </w:p>
        </w:tc>
        <w:tc>
          <w:tcPr>
            <w:tcW w:w="1209" w:type="dxa"/>
            <w:noWrap w:val="0"/>
            <w:vAlign w:val="center"/>
          </w:tcPr>
          <w:p w14:paraId="75AC6651">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0</w:t>
            </w:r>
          </w:p>
        </w:tc>
        <w:tc>
          <w:tcPr>
            <w:tcW w:w="1134" w:type="dxa"/>
            <w:noWrap w:val="0"/>
            <w:vAlign w:val="center"/>
          </w:tcPr>
          <w:p w14:paraId="02794D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230A68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74AAA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84298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4D3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373C3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5552A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768A9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987CC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03BB9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受益学生人数</w:t>
            </w:r>
          </w:p>
        </w:tc>
        <w:tc>
          <w:tcPr>
            <w:tcW w:w="1209" w:type="dxa"/>
            <w:noWrap w:val="0"/>
            <w:vAlign w:val="center"/>
          </w:tcPr>
          <w:p w14:paraId="771775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3000人</w:t>
            </w:r>
          </w:p>
        </w:tc>
        <w:tc>
          <w:tcPr>
            <w:tcW w:w="1134" w:type="dxa"/>
            <w:noWrap w:val="0"/>
            <w:vAlign w:val="center"/>
          </w:tcPr>
          <w:p w14:paraId="199BD0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3420人</w:t>
            </w:r>
          </w:p>
        </w:tc>
        <w:tc>
          <w:tcPr>
            <w:tcW w:w="828" w:type="dxa"/>
            <w:noWrap w:val="0"/>
            <w:vAlign w:val="center"/>
          </w:tcPr>
          <w:p w14:paraId="2B8075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00286F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6D91E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33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3ED28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9964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2FF4C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B1A3C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安全事故发生率</w:t>
            </w:r>
          </w:p>
        </w:tc>
        <w:tc>
          <w:tcPr>
            <w:tcW w:w="1209" w:type="dxa"/>
            <w:noWrap w:val="0"/>
            <w:vAlign w:val="center"/>
          </w:tcPr>
          <w:p w14:paraId="268F03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34" w:type="dxa"/>
            <w:noWrap w:val="0"/>
            <w:vAlign w:val="center"/>
          </w:tcPr>
          <w:p w14:paraId="4459F9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28" w:type="dxa"/>
            <w:noWrap w:val="0"/>
            <w:vAlign w:val="center"/>
          </w:tcPr>
          <w:p w14:paraId="36C258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01123A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364BE6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082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150DB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AFA14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6817E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92277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6D2E78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rPr>
              <w:t>年12月之前完成　</w:t>
            </w:r>
          </w:p>
        </w:tc>
        <w:tc>
          <w:tcPr>
            <w:tcW w:w="1134" w:type="dxa"/>
            <w:noWrap w:val="0"/>
            <w:vAlign w:val="center"/>
          </w:tcPr>
          <w:p w14:paraId="49FA27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按目标完成</w:t>
            </w:r>
          </w:p>
        </w:tc>
        <w:tc>
          <w:tcPr>
            <w:tcW w:w="828" w:type="dxa"/>
            <w:noWrap w:val="0"/>
            <w:vAlign w:val="center"/>
          </w:tcPr>
          <w:p w14:paraId="42508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EB794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71F96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7EE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353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09481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D9910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A7330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140F6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保障校园安全</w:t>
            </w:r>
          </w:p>
        </w:tc>
        <w:tc>
          <w:tcPr>
            <w:tcW w:w="1209" w:type="dxa"/>
            <w:noWrap w:val="0"/>
            <w:vAlign w:val="center"/>
          </w:tcPr>
          <w:p w14:paraId="02C8E4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466772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按目标完成</w:t>
            </w:r>
          </w:p>
        </w:tc>
        <w:tc>
          <w:tcPr>
            <w:tcW w:w="828" w:type="dxa"/>
            <w:noWrap w:val="0"/>
            <w:vAlign w:val="center"/>
          </w:tcPr>
          <w:p w14:paraId="4762DE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31FE96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36B879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BF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A9CE9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0161E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E093A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B5F05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促进校园安全</w:t>
            </w:r>
          </w:p>
        </w:tc>
        <w:tc>
          <w:tcPr>
            <w:tcW w:w="1209" w:type="dxa"/>
            <w:noWrap w:val="0"/>
            <w:vAlign w:val="center"/>
          </w:tcPr>
          <w:p w14:paraId="30D34D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320779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按目标完成</w:t>
            </w:r>
          </w:p>
        </w:tc>
        <w:tc>
          <w:tcPr>
            <w:tcW w:w="828" w:type="dxa"/>
            <w:noWrap w:val="0"/>
            <w:vAlign w:val="center"/>
          </w:tcPr>
          <w:p w14:paraId="57F4B3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42A8F0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326888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C4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CF5E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18F44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FA4D0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F5E90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B7258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0888E2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师生满意度</w:t>
            </w:r>
          </w:p>
        </w:tc>
        <w:tc>
          <w:tcPr>
            <w:tcW w:w="1209" w:type="dxa"/>
            <w:noWrap w:val="0"/>
            <w:vAlign w:val="center"/>
          </w:tcPr>
          <w:p w14:paraId="4DFAF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3FBE34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3E47F6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E8932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90D54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C4C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9992E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D2E5A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73" w:type="dxa"/>
            <w:noWrap w:val="0"/>
            <w:vAlign w:val="center"/>
          </w:tcPr>
          <w:p w14:paraId="73909E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99</w:t>
            </w:r>
          </w:p>
        </w:tc>
        <w:tc>
          <w:tcPr>
            <w:tcW w:w="1418" w:type="dxa"/>
            <w:noWrap w:val="0"/>
            <w:vAlign w:val="center"/>
          </w:tcPr>
          <w:p w14:paraId="59A1E7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C0030EF">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丁当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2025年6月10日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18244807558</w:t>
      </w:r>
    </w:p>
    <w:p w14:paraId="2B8C935A">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4E71287">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953ADF6">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Times New Roman" w:hAnsi="Times New Roman" w:eastAsia="仿宋_GB2312" w:cs="Times New Roman"/>
          <w:snapToGrid/>
          <w:color w:val="000000"/>
          <w:kern w:val="0"/>
          <w:sz w:val="24"/>
          <w:szCs w:val="24"/>
          <w:lang w:val="en-US" w:eastAsia="zh-CN" w:bidi="ar-SA"/>
        </w:rPr>
        <w:t>4</w:t>
      </w:r>
    </w:p>
    <w:p w14:paraId="6E695107">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t xml:space="preserve">                 </w:t>
      </w:r>
    </w:p>
    <w:p w14:paraId="16A39887">
      <w:pPr>
        <w:jc w:val="center"/>
        <w:rPr>
          <w:rFonts w:hint="eastAsia" w:ascii="方正小标宋简体" w:hAnsi="Arial" w:eastAsia="方正小标宋简体" w:cs="Arial"/>
          <w:sz w:val="40"/>
          <w:szCs w:val="40"/>
          <w:lang w:val="en-US" w:eastAsia="zh-CN"/>
        </w:rPr>
      </w:pPr>
      <w:r>
        <w:rPr>
          <w:rFonts w:hint="eastAsia" w:ascii="方正小标宋简体" w:hAnsi="Arial" w:eastAsia="方正小标宋简体" w:cs="Arial"/>
          <w:sz w:val="40"/>
          <w:szCs w:val="40"/>
          <w:lang w:val="en-US" w:eastAsia="zh-CN"/>
        </w:rPr>
        <w:t>怀化市实验小学项目支出自评结果汇总分析报告</w:t>
      </w:r>
    </w:p>
    <w:p w14:paraId="02B935E1">
      <w:pPr>
        <w:jc w:val="center"/>
        <w:rPr>
          <w:rFonts w:ascii="仿宋_GB2312" w:hAnsi="华文中宋"/>
          <w:bCs/>
          <w:sz w:val="32"/>
          <w:szCs w:val="32"/>
        </w:rPr>
      </w:pPr>
      <w:r>
        <w:rPr>
          <w:rFonts w:hint="eastAsia" w:ascii="仿宋_GB2312"/>
          <w:bCs/>
          <w:sz w:val="32"/>
          <w:szCs w:val="32"/>
        </w:rPr>
        <w:t>（参考提纲）</w:t>
      </w:r>
    </w:p>
    <w:p w14:paraId="18024718">
      <w:pPr>
        <w:jc w:val="center"/>
        <w:rPr>
          <w:rFonts w:ascii="仿宋_GB2312"/>
          <w:sz w:val="32"/>
          <w:szCs w:val="32"/>
        </w:rPr>
      </w:pPr>
    </w:p>
    <w:p w14:paraId="5A0365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一、项目支出基本情况</w:t>
      </w:r>
    </w:p>
    <w:p w14:paraId="07E9410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1、项目支出构成情况：校方责任险、保安经费、学校电线线路改造，寻梦楼一楼地面及污水池维修。</w:t>
      </w:r>
    </w:p>
    <w:p w14:paraId="24DB88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2、总体预算和执行情况：校方责任险年初预算5.07万元、保安经费21.73万元，已按计划执行完毕；学校电线线路改造，寻梦楼一楼地面及污水池维修预算80万，已支付73.71万元，剩2.9万元质保金未支付。</w:t>
      </w:r>
    </w:p>
    <w:p w14:paraId="40A794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二、项目自评工作开展情况</w:t>
      </w:r>
    </w:p>
    <w:p w14:paraId="3C8FCF5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640"/>
        <w:jc w:val="both"/>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1、项目单位自评工作覆盖情况：被评价单位怀化市实验小学，评价范围：围绕预算绩效目标和评价指标开展自评，包括预算支出总体绩效目标、各项绩效指标完成情况以及预算执行情况。</w:t>
      </w:r>
    </w:p>
    <w:p w14:paraId="66916E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2、组织开展程序：</w:t>
      </w:r>
    </w:p>
    <w:p w14:paraId="3D9BEDE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0"/>
          <w:sz w:val="32"/>
          <w:szCs w:val="32"/>
          <w:highlight w:val="none"/>
          <w:lang w:val="en-US" w:eastAsia="zh-CN" w:bidi="ar"/>
        </w:rPr>
      </w:pPr>
      <w:r>
        <w:rPr>
          <w:rFonts w:hint="eastAsia" w:ascii="Times New Roman Regular" w:hAnsi="Times New Roman Regular" w:eastAsia="仿宋_GB2312" w:cs="Times New Roman Regular"/>
          <w:color w:val="auto"/>
          <w:sz w:val="32"/>
          <w:szCs w:val="32"/>
          <w:highlight w:val="none"/>
          <w:lang w:val="en-US" w:eastAsia="zh-CN"/>
        </w:rPr>
        <w:t>（1）</w:t>
      </w:r>
      <w:r>
        <w:rPr>
          <w:rFonts w:hint="eastAsia" w:ascii="Times New Roman Regular" w:hAnsi="Times New Roman Regular" w:eastAsia="仿宋_GB2312" w:cs="Times New Roman Regular"/>
          <w:color w:val="auto"/>
          <w:kern w:val="0"/>
          <w:sz w:val="32"/>
          <w:szCs w:val="32"/>
          <w:highlight w:val="none"/>
          <w:lang w:val="en-US" w:eastAsia="zh-CN" w:bidi="ar"/>
        </w:rPr>
        <w:t>成立自评小组：组建由项目负责人、财务人员、技术骨干、业务专家及相关管理人员构成的自评小组，明确小组成员分工与职责，确保从项目管理、技术、财务等多维度开展全面评估。</w:t>
      </w:r>
    </w:p>
    <w:p w14:paraId="08E5BA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 制定自评方案：依据项目目标、实施方案、评价标准等，制定详细的自评方案，确定自评范围、内容、方法、时间安排及人员分工，确保自评工作有序推进。</w:t>
      </w:r>
    </w:p>
    <w:p w14:paraId="2F7F7CB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 收集资料：全面收集项目相关资料，包括项目申报书、立项批复、实施方案、财务账目、进度报告、验收报告、成果证明等，为自评提供充足的数据支撑。</w:t>
      </w:r>
    </w:p>
    <w:p w14:paraId="506895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（4）实施自评：自评小组对收集的资料进行细致审核，核查项目实施过程的规范性、资料的完整性和真实性，确认项目是否按照计划执行，各项指标是否达到预期要求。</w:t>
      </w:r>
    </w:p>
    <w:p w14:paraId="5D5647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三、项目自评结果及分析</w:t>
      </w:r>
    </w:p>
    <w:p w14:paraId="76FEC1B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1、项目支出单位自评分数情况及分析：2024年我校项目资金使用规范、严格控制成本，各个项目实施达到预期绩效目标，综合自评分数都为99分。</w:t>
      </w:r>
    </w:p>
    <w:p w14:paraId="18037C7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2、预算执行情况分析：校方责任险年初预算5.07万元、保安经费21.73万元，已按计划执行完毕；学校电线线路改造，寻梦楼一楼地面及污水池维修预算80万，已支付73.71万元，剩2.9万元质保金未支付。</w:t>
      </w:r>
    </w:p>
    <w:p w14:paraId="2A1B2EE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资金管理情况分析：严格按照财政部门要求和单位《预算管理制度》、《项目管理制度》、《合同管理制度》等各项制度进行资金管理，专款专用，项目资金由财政部门、教育主管按照项目计划、工程进度，经市财政局面审解冻资金后再支付至实施单位，加强资金事中监管。严格执行《会计法》等财经法规，严格按照相关会计制度进行会计核算，真实反映项目资金管理情况，并接受市级财政、审计部门、纪检监察部门及上级主管部门的检查、督察。</w:t>
      </w:r>
    </w:p>
    <w:p w14:paraId="3021E67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总体绩效目标完成情况分析：本年度我校紧紧围绕“培养德智体美劳全面发展的新时代好少年”办学目标，将立德树人视为视为工作之根本，将育人始终贯穿在我们的教育教学之中，形成全员育人，处处育人的氛围，严格遵循五项管理的要求，为学生健康成长奠定基础；以“双减”为依托，努力开展教育教学改革，完善教学管理机制和制度，探索适合我校学生实际并行之有效的教育教学方法，狠抓常规强基础，鼓励创新求发展。</w:t>
      </w:r>
    </w:p>
    <w:p w14:paraId="0E79CCB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5、绩效指标完成情况分析等：</w:t>
      </w:r>
    </w:p>
    <w:p w14:paraId="1D265F5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（1）完成进度分析:按计划在2024年底完成目标。</w:t>
      </w:r>
    </w:p>
    <w:p w14:paraId="0CECFC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（2）完成质量分析：通过对照项目技术规范、验收标准，检查产品、服务或成果的合格率，项目均验收合格。通过问卷调查、访谈等方式收集服务对象对项目成果的满意度，满意度均为90%以上。</w:t>
      </w:r>
    </w:p>
    <w:p w14:paraId="45819E8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（3）社会效益分析：在可持续影响上都保障了我校正常运转。</w:t>
      </w:r>
    </w:p>
    <w:p w14:paraId="4CCFB02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6、年度总体绩效目标没有完成的项目、绩效指标完成情况存在偏差的（没有完成、超额完成30%及以上），要分析原因：本年度完成绩效目标，绩效指标无偏差。</w:t>
      </w:r>
    </w:p>
    <w:p w14:paraId="63F6CD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四、项目自评发现的问题及整改措施</w:t>
      </w:r>
    </w:p>
    <w:p w14:paraId="2A06AC1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项目资金绩效指标设置太过专业和细化，相关人员未经过培训工作开展相对较困难。</w:t>
      </w:r>
    </w:p>
    <w:p w14:paraId="69C528F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kern w:val="2"/>
          <w:sz w:val="32"/>
          <w:szCs w:val="32"/>
          <w:lang w:val="en-US" w:eastAsia="zh-CN" w:bidi="ar-SA"/>
        </w:rPr>
        <w:t>五、</w:t>
      </w:r>
      <w:r>
        <w:rPr>
          <w:rFonts w:hint="eastAsia" w:ascii="方正黑体_GBK" w:hAnsi="方正黑体_GBK" w:eastAsia="方正黑体_GBK" w:cs="方正黑体_GBK"/>
          <w:b/>
          <w:bCs/>
          <w:color w:val="auto"/>
          <w:sz w:val="32"/>
          <w:szCs w:val="32"/>
          <w:highlight w:val="none"/>
          <w:lang w:val="en-US" w:eastAsia="zh-CN"/>
        </w:rPr>
        <w:t>项目自评工作建议及预算安排建议</w:t>
      </w:r>
    </w:p>
    <w:p w14:paraId="2EAB69D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希望市财政局对预算单位进行指导和培训，特别是绩效评价优秀的典型案例讲解。</w:t>
      </w:r>
    </w:p>
    <w:p w14:paraId="32F8578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kern w:val="2"/>
          <w:sz w:val="32"/>
          <w:szCs w:val="32"/>
          <w:lang w:val="en-US" w:eastAsia="zh-CN" w:bidi="ar-SA"/>
        </w:rPr>
        <w:t>六、</w:t>
      </w:r>
      <w:r>
        <w:rPr>
          <w:rFonts w:hint="eastAsia" w:ascii="方正黑体_GBK" w:hAnsi="方正黑体_GBK" w:eastAsia="方正黑体_GBK" w:cs="方正黑体_GBK"/>
          <w:b/>
          <w:bCs/>
          <w:color w:val="auto"/>
          <w:sz w:val="32"/>
          <w:szCs w:val="32"/>
          <w:highlight w:val="none"/>
          <w:lang w:val="en-US" w:eastAsia="zh-CN"/>
        </w:rPr>
        <w:t>其他需要说明的问题</w:t>
      </w:r>
      <w:r>
        <w:rPr>
          <w:rFonts w:hint="eastAsia" w:ascii="方正黑体_GBK" w:hAnsi="方正黑体_GBK" w:eastAsia="方正黑体_GBK" w:cs="方正黑体_GBK"/>
          <w:b/>
          <w:bCs/>
          <w:color w:val="auto"/>
          <w:sz w:val="32"/>
          <w:szCs w:val="32"/>
          <w:highlight w:val="none"/>
          <w:lang w:val="en-US" w:eastAsia="zh-CN"/>
        </w:rPr>
        <w:tab/>
      </w:r>
    </w:p>
    <w:p w14:paraId="30FF3C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无其他需要说明的问题。</w:t>
      </w:r>
    </w:p>
    <w:p w14:paraId="429717A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5A2CE6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642AF2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3321A3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53F4F12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328CE2A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239D169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D6A833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349035F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87953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5F623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8A59ED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327BD24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4A312F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431AB94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58E9B6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3E111B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734F49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734EF49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79CC33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7186B2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附件5</w:t>
      </w:r>
    </w:p>
    <w:p w14:paraId="3C97A1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1C4A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32350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320" w:firstLineChars="30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pPr>
      <w: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t>2024年度怀化市实验小学整体支出</w:t>
      </w:r>
    </w:p>
    <w:p w14:paraId="5AD8FC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320" w:firstLineChars="30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pPr>
    </w:p>
    <w:p w14:paraId="0790C8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320" w:firstLineChars="30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pPr>
      <w: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t>绩效自评报告</w:t>
      </w: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880" w:firstLineChars="200"/>
        <w:textAlignment w:val="auto"/>
        <w:rPr>
          <w:rFonts w:hint="default" w:ascii="方正黑体_GBK" w:hAnsi="方正黑体_GBK" w:eastAsia="方正黑体_GBK" w:cs="方正黑体_GBK"/>
          <w:b/>
          <w:bCs/>
          <w:color w:val="auto"/>
          <w:sz w:val="44"/>
          <w:szCs w:val="44"/>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85B0A4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449AACB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F16B62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0EA13517">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怀化市实验小学前身为怀化市实验学校，创办于1992年，是市直属九年一贯制学校。怀化市实验小学位于怀化市鹤城区锦园路141号，占地面积约35亩。2019年11月，怀化市委市政府决定实验学校中小学分开办学，成为两所独立的法人单位。</w:t>
      </w:r>
    </w:p>
    <w:p w14:paraId="203F3A56">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在职人员情况：学校核定编制数151人，员额制编制数31人。</w:t>
      </w:r>
    </w:p>
    <w:p w14:paraId="7E75F6F0">
      <w:pPr>
        <w:widowControl/>
        <w:shd w:val="clear" w:color="auto" w:fill="FFFFFF"/>
        <w:spacing w:line="600" w:lineRule="atLeast"/>
        <w:ind w:firstLine="640"/>
        <w:rPr>
          <w:rFonts w:hint="eastAsia" w:ascii="Times New Roman Regular" w:hAnsi="Times New Roman Regular" w:eastAsia="仿宋_GB2312" w:cs="Times New Roman Regular"/>
          <w:color w:val="auto"/>
          <w:sz w:val="32"/>
          <w:szCs w:val="32"/>
          <w:highlight w:val="none"/>
          <w:lang w:val="en-US" w:eastAsia="zh-CN"/>
        </w:rPr>
      </w:pPr>
      <w:r>
        <w:rPr>
          <w:rFonts w:ascii="仿宋" w:hAnsi="仿宋" w:eastAsia="仿宋" w:cs="Times New Roman"/>
          <w:spacing w:val="-2"/>
          <w:sz w:val="32"/>
          <w:szCs w:val="32"/>
        </w:rPr>
        <w:t>机构设置</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rPr>
        <w:t>学校有1</w:t>
      </w:r>
      <w:r>
        <w:rPr>
          <w:rFonts w:hint="eastAsia" w:ascii="仿宋" w:hAnsi="仿宋" w:eastAsia="仿宋" w:cs="Times New Roman"/>
          <w:spacing w:val="-2"/>
          <w:sz w:val="32"/>
          <w:szCs w:val="32"/>
          <w:lang w:val="en-US" w:eastAsia="zh-CN"/>
        </w:rPr>
        <w:t>1</w:t>
      </w:r>
      <w:r>
        <w:rPr>
          <w:rFonts w:hint="eastAsia" w:ascii="仿宋" w:hAnsi="仿宋" w:eastAsia="仿宋" w:cs="Times New Roman"/>
          <w:spacing w:val="-2"/>
          <w:sz w:val="32"/>
          <w:szCs w:val="32"/>
        </w:rPr>
        <w:t>个部门分别为办公室、综治办、教务处、德育处、总务处、教研室、督导室、大队部、党办、现代教育技术室、财务室。</w:t>
      </w:r>
    </w:p>
    <w:p w14:paraId="42FF960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kern w:val="2"/>
          <w:sz w:val="32"/>
          <w:szCs w:val="32"/>
          <w:lang w:val="en-US" w:eastAsia="zh-CN" w:bidi="ar-SA"/>
        </w:rPr>
        <w:t>（二）</w:t>
      </w:r>
      <w:r>
        <w:rPr>
          <w:rFonts w:hint="eastAsia" w:ascii="Times New Roman Regular" w:hAnsi="Times New Roman Regular" w:eastAsia="仿宋_GB2312" w:cs="Times New Roman Regular"/>
          <w:color w:val="auto"/>
          <w:sz w:val="32"/>
          <w:szCs w:val="32"/>
          <w:highlight w:val="none"/>
          <w:lang w:val="en-US" w:eastAsia="zh-CN"/>
        </w:rPr>
        <w:t>单位整体支出规模、使用方向和主要内容、涉及范围等。</w:t>
      </w:r>
    </w:p>
    <w:p w14:paraId="1BB0750B">
      <w:pPr>
        <w:widowControl/>
        <w:shd w:val="clear" w:color="auto" w:fill="FFFFFF"/>
        <w:spacing w:line="600" w:lineRule="atLeast"/>
        <w:ind w:firstLine="640"/>
        <w:rPr>
          <w:rFonts w:hint="default"/>
          <w:lang w:val="en-US" w:eastAsia="zh-CN"/>
        </w:rPr>
      </w:pPr>
      <w:r>
        <w:rPr>
          <w:rFonts w:hint="eastAsia"/>
          <w:lang w:val="en-US" w:eastAsia="zh-CN"/>
        </w:rPr>
        <w:t xml:space="preserve">   </w:t>
      </w:r>
      <w:r>
        <w:rPr>
          <w:rFonts w:hint="eastAsia" w:ascii="仿宋" w:hAnsi="仿宋" w:eastAsia="仿宋" w:cs="Times New Roman"/>
          <w:spacing w:val="-2"/>
          <w:sz w:val="32"/>
          <w:szCs w:val="32"/>
          <w:lang w:val="en-US" w:eastAsia="zh-CN"/>
        </w:rPr>
        <w:t>2024年基本支出为25861779.14元，包含人员经费24964239.49元，公用经费897539.65元；项目支出为8208588.4元。基本支出用于保障机构正常运转、完成日常工作任务而发生的支出。项目支出是为完成特定的工作任务或事业发展目标，在基本的预算支出以外，财政预算专项安排的支出。</w:t>
      </w:r>
    </w:p>
    <w:p w14:paraId="1F950FF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507E1709">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本部门基本支出主要用于维持学校正常运转发生的基本支出和完成各项教育教学任务而发生的各项支出。</w:t>
      </w:r>
    </w:p>
    <w:p w14:paraId="745A1A10">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本年基本支出25861779.14元，其中：</w:t>
      </w:r>
    </w:p>
    <w:p w14:paraId="1D8C020A">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1、人员经费支出24964239.49元，占基本支出96.53%，其中：工资福利支出24163948.49元，对个人和家庭补助支出800291元。</w:t>
      </w:r>
    </w:p>
    <w:p w14:paraId="3FD0AF04">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日常公用支出897539.65元，占基本支出3.5%，用于我校正常基本运行而发生的费用，包括办公费、水电费、邮电费、物业管理费、差旅费、培训费、维修费、专用材料费、三公经费、租赁费、劳务费、计提的福利费、其他交通费、保安费、其他商品和服务支出。</w:t>
      </w:r>
    </w:p>
    <w:p w14:paraId="56A01ACC">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3、“三公”经费的使用和管理情况</w:t>
      </w:r>
    </w:p>
    <w:p w14:paraId="46781114">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贯彻落实中央“八项规定”，学校多次对“三公经费”使用情况进行，严控，自查，完善了“三公”经费各项使用制度，有效控制了“三公”经费开支。</w:t>
      </w:r>
    </w:p>
    <w:p w14:paraId="7B59A5CA">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2024年“三公”经费预算总额为0万元，决算支出总额为0万元，</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1324F4DE">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default" w:ascii="仿宋" w:hAnsi="仿宋" w:eastAsia="仿宋" w:cs="Times New Roman"/>
          <w:spacing w:val="-2"/>
          <w:kern w:val="2"/>
          <w:sz w:val="32"/>
          <w:szCs w:val="32"/>
          <w:lang w:val="en-US" w:eastAsia="zh-CN" w:bidi="ar-SA"/>
        </w:rPr>
        <w:t>1、项目资金（包括财政资金、自筹资金等）安排落实、总投入等情况分析。</w:t>
      </w:r>
    </w:p>
    <w:p w14:paraId="59252760">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2024年财政下达我校专项资金106.8万元，其中学校电线线路改造，寻梦楼一楼地面及污水池维修80万元，保安经费21.73万元，校方责任险5.07万元。</w:t>
      </w:r>
    </w:p>
    <w:p w14:paraId="1F94C08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kern w:val="2"/>
          <w:sz w:val="32"/>
          <w:szCs w:val="32"/>
          <w:lang w:val="en-US" w:eastAsia="zh-CN" w:bidi="ar-SA"/>
        </w:rPr>
        <w:t>2、</w:t>
      </w:r>
      <w:r>
        <w:rPr>
          <w:rFonts w:hint="default" w:ascii="Times New Roman Regular" w:hAnsi="Times New Roman Regular" w:eastAsia="仿宋_GB2312" w:cs="Times New Roman Regular"/>
          <w:color w:val="auto"/>
          <w:sz w:val="32"/>
          <w:szCs w:val="32"/>
          <w:highlight w:val="none"/>
          <w:lang w:val="en-US" w:eastAsia="zh-CN"/>
        </w:rPr>
        <w:t>项目资金（主要指财政资金）实际使用情况分析。</w:t>
      </w:r>
    </w:p>
    <w:p w14:paraId="5ACE230D">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2024年我校专项资金支出100.51万元。其中学校电线线路改造，寻梦楼一楼地面及污水池维修已支付73.71万元，剩2.9万元质保金未支付，保安经费21.73万元，校方责任险5.07万元。</w:t>
      </w:r>
    </w:p>
    <w:p w14:paraId="416699A4">
      <w:pPr>
        <w:pStyle w:val="2"/>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kern w:val="2"/>
          <w:sz w:val="32"/>
          <w:szCs w:val="32"/>
          <w:lang w:val="en-US" w:eastAsia="zh-CN" w:bidi="ar-SA"/>
        </w:rPr>
        <w:t>3、</w:t>
      </w:r>
      <w:r>
        <w:rPr>
          <w:rFonts w:hint="default" w:ascii="Times New Roman Regular" w:hAnsi="Times New Roman Regular" w:eastAsia="仿宋_GB2312" w:cs="Times New Roman Regular"/>
          <w:color w:val="auto"/>
          <w:sz w:val="32"/>
          <w:szCs w:val="32"/>
          <w:highlight w:val="none"/>
          <w:lang w:val="en-US" w:eastAsia="zh-CN"/>
        </w:rPr>
        <w:t>项目资金管理情况分析，主要包括管理制度、办法的制订及执行情况。</w:t>
      </w:r>
    </w:p>
    <w:p w14:paraId="11B87084">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按照省、市财政专项资金管理办法，《中华人民共和国招标投标法》，学校专门制订了建设项目管理制度、专项资金管理制度、严格按照审批程序支付专项资金，严格管控建设成本，和质量管控，加强支出审核控制，全面审核各类单据。财务人员认真审核财政预算报告书、工程项目合同、公开招标书、政府采购合同、财政结算报告书、验收报告等，再经教育局、财政有关部门审批签章后，方可到支付局办理支付手续。各项专项资金，做到了及时到位，专款专用，无截留、卡扣、占用和挪用等情况，财务制度健全，会计核算规范，支付依据合规。</w:t>
      </w:r>
    </w:p>
    <w:p w14:paraId="5D6E734E">
      <w:pPr>
        <w:pStyle w:val="2"/>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kern w:val="2"/>
          <w:sz w:val="32"/>
          <w:szCs w:val="32"/>
          <w:lang w:val="en-US" w:eastAsia="zh-CN" w:bidi="ar-SA"/>
        </w:rPr>
        <w:t>三、</w:t>
      </w:r>
      <w:r>
        <w:rPr>
          <w:rFonts w:hint="default" w:ascii="方正黑体_GBK" w:hAnsi="方正黑体_GBK" w:eastAsia="方正黑体_GBK" w:cs="方正黑体_GBK"/>
          <w:b/>
          <w:bCs/>
          <w:color w:val="auto"/>
          <w:sz w:val="32"/>
          <w:szCs w:val="32"/>
          <w:highlight w:val="none"/>
          <w:lang w:val="en-US" w:eastAsia="zh-CN"/>
        </w:rPr>
        <w:t>项目组织实施情况</w:t>
      </w:r>
    </w:p>
    <w:p w14:paraId="7096748C">
      <w:pPr>
        <w:pStyle w:val="2"/>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186F5FB2">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学校建设项目可行性研究报告是根据国家和市政府对建设项目有关要求，确保设计方案的可行性、合理性和投资估算的准确性，报上级行政主管部门审批。我校针对不同专项内容，将工作任务细化到各部门，各个专项严格按照程序进行开展。在市财政局和教育局的监督下，由总务处负责专项的具体实施，依据相关文件精神，确保专项质量，完工后由本校及相关部门进行检查验收。</w:t>
      </w:r>
    </w:p>
    <w:p w14:paraId="4E7AEDC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kern w:val="2"/>
          <w:sz w:val="32"/>
          <w:szCs w:val="32"/>
          <w:lang w:val="en-US" w:eastAsia="zh-CN" w:bidi="ar-SA"/>
        </w:rPr>
        <w:t>（二）</w:t>
      </w: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1BA3FC61">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我校严格执行《怀化市本级财政专项资金管理办法》《怀化市本级政府投资项目工程预结（决）算管理办法》等相关制度，实行项目责任制管理。学校领导负责项目的督导工作，认真履行职责，做好项目的管理。为进一步规范财政资金管理，强化单位责任意识，进一步完善专项资金管理，提高财政资金使用效益，我校先后制定了支出管理制度、建设项目管理制度、专项资金管理制度以及稽核制度，学校建设项目管理贯穿建设项目的全过程，从项目的报批、工程招投标、勘探设计、项目施工、工程技术、相关设施的配套、专项资金的管理使用，到项目的竣工验收。按照校务公开的要求，实行基建工作公开，实施学校基建项目责任人，日常监督工作由学校监察、基建、财务依照各自职能，采用询问、参与、检查、调查等方式进行。学校对在建设中不按规定办事、玩忽职守、弄虚作假、违反有关廉政建设规定的行为，都要严格查处。</w:t>
      </w:r>
    </w:p>
    <w:p w14:paraId="6681E12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7C990A2C">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学校固定资产是国家财产的组成部分，是保证完成学校教学及各项工作的物质保障。为加强我校财产管理，明确经济责任.保证资产的安全完整、账账相符，账实相符，防止固定资产流失，根据有关财经法规，结合我校实际，制定了资产管理制度。</w:t>
      </w:r>
    </w:p>
    <w:p w14:paraId="59F8B8BB">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学校严格按照财政部门制定的资产配置合理编制资产配置预算，对没有规定资产配置标准的，坚持厉行节约、从严控制的原则，对于预算配置内的资产，按照规定进行资产登记。对于报损资产严格执行国有资产处置制度，履行审批手续，规范处置行为，防止国有资产流失。为防止国有资产流失，学校制定了详细的资产管理办法，对各类不同资产，均配有资产专管员，资产购置、管理和处置均由资产专管员按照规定进行申报，定期盘点，集中处置，确保资产，账账相符、账实相符。</w:t>
      </w:r>
    </w:p>
    <w:p w14:paraId="4F4D852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kern w:val="2"/>
          <w:sz w:val="32"/>
          <w:szCs w:val="32"/>
          <w:lang w:val="en-US" w:eastAsia="zh-CN" w:bidi="ar-SA"/>
        </w:rPr>
        <w:t>五、</w:t>
      </w: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7C2AACF1">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我校本年度无</w:t>
      </w:r>
      <w:r>
        <w:rPr>
          <w:rFonts w:hint="default" w:ascii="仿宋" w:hAnsi="仿宋" w:eastAsia="仿宋" w:cs="Times New Roman"/>
          <w:spacing w:val="-2"/>
          <w:kern w:val="2"/>
          <w:sz w:val="32"/>
          <w:szCs w:val="32"/>
          <w:lang w:val="en-US" w:eastAsia="zh-CN" w:bidi="ar-SA"/>
        </w:rPr>
        <w:t>政府性基金预算支出</w:t>
      </w:r>
      <w:r>
        <w:rPr>
          <w:rFonts w:hint="eastAsia" w:ascii="仿宋" w:hAnsi="仿宋" w:eastAsia="仿宋" w:cs="Times New Roman"/>
          <w:spacing w:val="-2"/>
          <w:kern w:val="2"/>
          <w:sz w:val="32"/>
          <w:szCs w:val="32"/>
          <w:lang w:val="en-US" w:eastAsia="zh-CN" w:bidi="ar-SA"/>
        </w:rPr>
        <w:t>。</w:t>
      </w:r>
    </w:p>
    <w:p w14:paraId="3488626E">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39FB7987">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我校本年度无国有资本经营预算支出。</w:t>
      </w:r>
    </w:p>
    <w:p w14:paraId="3844A895">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1494B369">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我校本年度无</w:t>
      </w:r>
      <w:r>
        <w:rPr>
          <w:rFonts w:hint="default" w:ascii="仿宋" w:hAnsi="仿宋" w:eastAsia="仿宋" w:cs="Times New Roman"/>
          <w:spacing w:val="-2"/>
          <w:kern w:val="2"/>
          <w:sz w:val="32"/>
          <w:szCs w:val="32"/>
          <w:lang w:val="en-US" w:eastAsia="zh-CN" w:bidi="ar-SA"/>
        </w:rPr>
        <w:t>社会保险基金预算支出</w:t>
      </w:r>
      <w:r>
        <w:rPr>
          <w:rFonts w:hint="eastAsia" w:ascii="仿宋" w:hAnsi="仿宋" w:eastAsia="仿宋" w:cs="Times New Roman"/>
          <w:spacing w:val="-2"/>
          <w:kern w:val="2"/>
          <w:sz w:val="32"/>
          <w:szCs w:val="32"/>
          <w:lang w:val="en-US" w:eastAsia="zh-CN" w:bidi="ar-SA"/>
        </w:rPr>
        <w:t>。</w:t>
      </w:r>
    </w:p>
    <w:p w14:paraId="387ACB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3474B22E">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2024年度实验小学履职效益情况良好，认真遵守各项财务规章制度，严格执行各项支出审批程序，确保专款专用，无截留、挤占或挪用。“三公”经费响应零开支号召、厉行勤俭节约。项目按计划组织实施，确保专项资金合理使用，切实提高资金效益。部门整体支出绩效情况如下：</w:t>
      </w:r>
    </w:p>
    <w:p w14:paraId="1E64AF53">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1.经济性分析</w:t>
      </w:r>
    </w:p>
    <w:p w14:paraId="6EBD7281">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2024年依据部门预算，严格控制日常开支，确保日常开支在厉行节约指标数内。</w:t>
      </w:r>
    </w:p>
    <w:p w14:paraId="5CE8C94F">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2024年“三公”经费预算0万元，实际支出0万元，无“三公”经费支出。严格执行党政机关公务接待管理规定，尽力压缩“三公”经费等行政支出。</w:t>
      </w:r>
    </w:p>
    <w:p w14:paraId="7B94A58A">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2.效率性、有效性、满意度分析</w:t>
      </w:r>
    </w:p>
    <w:p w14:paraId="5C0EFB08">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2024年我校在市委市政府和教育主管部门的正确领导下，在全体教职员工的共同努力下，紧绕“培养德智体美劳全面发展的新时代好少年”办学目标，贯彻落实立德树人根本任务；紧扣“安全是底线、教育教学是生命线”有序开展校园安全和教育教学各项工作；紧抓“聚焦核心素养 提升课堂实效”教学目标，组织教师学习新课标，落实教学教研常规，不断促进课堂教学质量提升。</w:t>
      </w:r>
    </w:p>
    <w:p w14:paraId="1DDFAA90">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落实“双减”下的课后服务。2024年，坚持做好课后服务特色课程的开发和实施，开设了音乐、美术、体育、思维、阅读、科技、英语等八大门类20个专业60个兴趣活动班；周五开展校队训练：足球、篮球、啦啦操、非遗管乐队、剪纸、国画、舞蹈、合唱、戏曲等18支队伍，在庆“六一”暨建校30周年文艺晚会和秋季运动会开幕式中，各个校队给大家带来了精彩纷呈的表演，充分展示了我校学生的综合素养。其中啦啦操校队在2024年湖南省第三届蹦床比赛荣获两个一等奖的第一名，12月，参加怀化市青少年啦啦操锦标赛，再次夺得冠军。戏曲校队和舞蹈校队表演的京剧《戏曲联唱》在湖南省少儿戏曲小梅花选拔展演中，被评为“最佳集体节目”。课后服务开设的各类特色课程，大大提升了学生发展空间，让“双减”下的课后服务落地有效。</w:t>
      </w:r>
    </w:p>
    <w:p w14:paraId="252C0A0E">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继续开展民族共建校工作。2月，开展了民族团结心相连、共融共建手相牵“红石榴”·“1+1”湘吐同心工作室师徒结对暨签约仪式；4月，与新疆双水磨学校同诵中华经典，同抒爱国情怀主题队会活动；5月，与新疆鄯善县双水磨学校开展了写一封信、寄一本书活动；11月，我校全体师生与鄯善县双水磨小学开展“民族团结手拉手 同声同舞向未来”活动。“同声”--两所学校同唱一首歌：《同爱同在》，各班利用音乐课教唱歌曲，“同舞”--两所学校同跳一支舞《同爱同在》，利用室内大课间时间学跳排舞。引领、加强师生铸牢中华民族共同体意识教育，把民族团结进步意识渗透校园，用实际行动为民族团结做出贡献，唱响时代主旋律，激发师生强烈爱国情，让民族团结一家亲的理念更加深入人心。</w:t>
      </w:r>
    </w:p>
    <w:p w14:paraId="1050E362">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继续推进优秀传统戏曲进校园工程。4月，组织三年级学生，来到黔阳古城开展“跟着课本去研学，非遗传承我最行”研学教育实践活动；组织四年级学生开展“寻访花瑶民俗、践行劳动教育”研学教育实践活动；6月，非遗管乐团、芦笙校队30余人，走进怀化市2024年“文化与自然遗产日”非遗宣传展示活动。12月，推出室内《戏曲课桌操》，由音乐教师编排、录制，进课堂教授等方式推广。继续开展非遗进校园活动，努力营造传统文化的学校氛围，争创全国戏曲特色校。</w:t>
      </w:r>
    </w:p>
    <w:p w14:paraId="3A3FA8BC">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3.可持续性分析</w:t>
      </w:r>
    </w:p>
    <w:p w14:paraId="62F95C6D">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2024年年末学生总人数3403人。学校坚持以人为本，科研兴校，特色办学，全面推进素质教育，保障辖区内适龄儿童入学。引导和培养学生德智体美等方面全面发展，为中学输送优秀人才。</w:t>
      </w:r>
    </w:p>
    <w:p w14:paraId="7943E2D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30C82519">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预算追加经费数额大，下达时间比较晚，有些项目资金执行时间比较长，造成预算执行率偏差大。</w:t>
      </w:r>
    </w:p>
    <w:p w14:paraId="4F0F7806">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31F01D22">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细化预算编制工作，认真做好预算的编制。将各项收入纳入单位预算管理，进一步加强内部机构各科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w:t>
      </w:r>
    </w:p>
    <w:p w14:paraId="6A2EBD79">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3A4FCE62">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整体支出绩效自评表自评得分99分。</w:t>
      </w:r>
    </w:p>
    <w:p w14:paraId="3EC9A49C">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2024年怀化市实验小学履职效益情况良好，认真遵守各项财务规章制度，严格执行各项支出审批程序，确保专款专用，无截留、挤占或挪用。“三公”经费响应零开支号召、厉行勤俭节约。项目按计划组织实施，确保专项资金合理使用，切实提高资金效益。</w:t>
      </w:r>
    </w:p>
    <w:p w14:paraId="1253F6F9">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相关自评表格及报告见附件。</w:t>
      </w:r>
    </w:p>
    <w:p w14:paraId="0D944C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1ECA6ED4">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无其他说明的情况。</w:t>
      </w:r>
    </w:p>
    <w:p w14:paraId="4F69E083">
      <w:pPr>
        <w:pStyle w:val="2"/>
        <w:rPr>
          <w:rFonts w:hint="default"/>
          <w:lang w:val="en-US" w:eastAsia="zh-CN"/>
        </w:rPr>
      </w:pPr>
    </w:p>
    <w:p w14:paraId="0B257E3F">
      <w:pPr>
        <w:pStyle w:val="8"/>
        <w:spacing w:before="0" w:beforeAutospacing="0" w:after="0" w:afterAutospacing="0" w:line="480" w:lineRule="auto"/>
        <w:ind w:firstLine="480"/>
        <w:jc w:val="both"/>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28AC6E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4EE272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0DDFB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095B56B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如有政府性基金预算、国有资本经营预算和社会保险基金预算支出，还需对应提供以下附件：</w:t>
      </w:r>
    </w:p>
    <w:p w14:paraId="55D465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4873301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、国有资本经营预算支出情况表</w:t>
      </w:r>
    </w:p>
    <w:p w14:paraId="270852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、社会保险基金预算支出情况表</w:t>
      </w:r>
    </w:p>
    <w:p w14:paraId="3DF12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2935819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5FD5B7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064C54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6A5983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2CF611B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67E023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1F6431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04B7DE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2FC2500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84C4CA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4EF7E5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005E78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3BC5EF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6</w:t>
      </w:r>
    </w:p>
    <w:p w14:paraId="76F24644">
      <w:pPr>
        <w:keepNext w:val="0"/>
        <w:keepLines w:val="0"/>
        <w:pageBreakBefore w:val="0"/>
        <w:widowControl w:val="0"/>
        <w:kinsoku/>
        <w:wordWrap/>
        <w:overflowPunct/>
        <w:topLinePunct w:val="0"/>
        <w:autoSpaceDE/>
        <w:autoSpaceDN/>
        <w:bidi w:val="0"/>
        <w:adjustRightInd/>
        <w:snapToGrid w:val="0"/>
        <w:spacing w:line="520" w:lineRule="exact"/>
        <w:ind w:firstLine="1200" w:firstLineChars="300"/>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怀化市实验小学2024</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年度项目支出</w:t>
      </w:r>
    </w:p>
    <w:p w14:paraId="2E4394E7">
      <w:pPr>
        <w:keepNext w:val="0"/>
        <w:keepLines w:val="0"/>
        <w:pageBreakBefore w:val="0"/>
        <w:widowControl w:val="0"/>
        <w:kinsoku/>
        <w:wordWrap/>
        <w:overflowPunct/>
        <w:topLinePunct w:val="0"/>
        <w:autoSpaceDE/>
        <w:autoSpaceDN/>
        <w:bidi w:val="0"/>
        <w:adjustRightInd/>
        <w:snapToGrid w:val="0"/>
        <w:spacing w:line="520" w:lineRule="exact"/>
        <w:ind w:firstLine="3600" w:firstLineChars="900"/>
        <w:jc w:val="both"/>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绩效自评报告</w:t>
      </w:r>
    </w:p>
    <w:p w14:paraId="2E2C759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黑体_GBK" w:hAnsi="方正黑体_GBK" w:eastAsia="方正黑体_GBK" w:cs="方正黑体_GBK"/>
          <w:b/>
          <w:bCs/>
          <w:color w:val="auto"/>
          <w:sz w:val="32"/>
          <w:szCs w:val="32"/>
          <w:highlight w:val="none"/>
          <w:lang w:val="en-US" w:eastAsia="zh-CN"/>
        </w:rPr>
      </w:pPr>
    </w:p>
    <w:p w14:paraId="01EFDAD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w:t>
      </w:r>
      <w:r>
        <w:rPr>
          <w:rFonts w:hint="default" w:ascii="方正黑体_GBK" w:hAnsi="方正黑体_GBK" w:eastAsia="方正黑体_GBK" w:cs="方正黑体_GBK"/>
          <w:b/>
          <w:bCs/>
          <w:color w:val="auto"/>
          <w:sz w:val="32"/>
          <w:szCs w:val="32"/>
          <w:highlight w:val="none"/>
          <w:lang w:val="en-US" w:eastAsia="zh-CN"/>
        </w:rPr>
        <w:t>项目概况</w:t>
      </w:r>
    </w:p>
    <w:p w14:paraId="38D42AD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项目基本情况</w:t>
      </w:r>
    </w:p>
    <w:p w14:paraId="2ADDF44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320" w:firstLineChars="1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说明项目主管部门在该项目管理中的职能。</w:t>
      </w:r>
    </w:p>
    <w:p w14:paraId="610AFF8C">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怀化市实验小学是一所公办的全日制小学,学制六年,属怀化市教育局直管。其职能是实施小学义务教育，促进教育事业发展，小学学历教育教改实验（相关社会服务）。</w:t>
      </w:r>
    </w:p>
    <w:p w14:paraId="7067946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320" w:firstLineChars="1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kern w:val="2"/>
          <w:sz w:val="32"/>
          <w:szCs w:val="32"/>
          <w:lang w:val="en-US" w:eastAsia="zh-CN" w:bidi="ar-SA"/>
        </w:rPr>
        <w:t>2.</w:t>
      </w:r>
      <w:r>
        <w:rPr>
          <w:rFonts w:hint="default" w:ascii="Times New Roman Regular" w:hAnsi="Times New Roman Regular" w:eastAsia="仿宋_GB2312" w:cs="Times New Roman Regular"/>
          <w:color w:val="auto"/>
          <w:sz w:val="32"/>
          <w:szCs w:val="32"/>
          <w:highlight w:val="none"/>
          <w:lang w:val="en-US" w:eastAsia="zh-CN"/>
        </w:rPr>
        <w:t>项目立项、资金申报的依据。</w:t>
      </w:r>
    </w:p>
    <w:p w14:paraId="7F22224D">
      <w:pPr>
        <w:pStyle w:val="8"/>
        <w:spacing w:before="0" w:beforeAutospacing="0" w:after="0" w:afterAutospacing="0" w:line="480" w:lineRule="auto"/>
        <w:ind w:firstLine="480"/>
        <w:jc w:val="both"/>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仿宋" w:hAnsi="仿宋" w:eastAsia="仿宋" w:cs="Times New Roman"/>
          <w:spacing w:val="-2"/>
          <w:kern w:val="2"/>
          <w:sz w:val="32"/>
          <w:szCs w:val="32"/>
          <w:lang w:val="en-US" w:eastAsia="zh-CN" w:bidi="ar-SA"/>
        </w:rPr>
        <w:t>根据市委市政府教育强市“城区教育五年行动计划”年度要求及年底市财政预算安排，市财政拨付专项项目给我校进行保安经费、校方责任险、学校电线线路改造，寻梦楼一楼地面及污水池维修等资金保障。</w:t>
      </w:r>
    </w:p>
    <w:p w14:paraId="6A572EF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320" w:firstLineChars="100"/>
        <w:textAlignment w:val="auto"/>
        <w:rPr>
          <w:rFonts w:hint="default"/>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资金管理办法制定情况,资金支持具体项目的条件、范围与支持方式概况。</w:t>
      </w:r>
    </w:p>
    <w:p w14:paraId="2294F6AF">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严格按照财政部门要求和单位《预算管理制度》、《项目管理制度》、《合同管理制度》等各项制度进行资金管理，专款专用，项目资金由财政部门、教育主管按照项目计划、工程进度，经市财政局面审解冻资金后再支付至实施单位，加强资金事中监管。严格执行《会计法》等财经法规，严格按照相关会计制度进行会计核算，真实反映项目资金管理情况，并接受市级财政、审计部门、纪检监察部门及上级主管部门的检查、督察。</w:t>
      </w:r>
    </w:p>
    <w:p w14:paraId="38D6F27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320" w:firstLineChars="1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kern w:val="2"/>
          <w:sz w:val="32"/>
          <w:szCs w:val="32"/>
          <w:lang w:val="en-US" w:eastAsia="zh-CN" w:bidi="ar-SA"/>
        </w:rPr>
        <w:t>4.</w:t>
      </w:r>
      <w:r>
        <w:rPr>
          <w:rFonts w:hint="default" w:ascii="Times New Roman Regular" w:hAnsi="Times New Roman Regular" w:eastAsia="仿宋_GB2312" w:cs="Times New Roman Regular"/>
          <w:color w:val="auto"/>
          <w:sz w:val="32"/>
          <w:szCs w:val="32"/>
          <w:highlight w:val="none"/>
          <w:lang w:val="en-US" w:eastAsia="zh-CN"/>
        </w:rPr>
        <w:t>资金分配的原则及考虑因素</w:t>
      </w:r>
      <w:r>
        <w:rPr>
          <w:rFonts w:hint="eastAsia" w:ascii="Times New Roman Regular" w:hAnsi="Times New Roman Regular" w:eastAsia="仿宋_GB2312" w:cs="Times New Roman Regular"/>
          <w:color w:val="auto"/>
          <w:sz w:val="32"/>
          <w:szCs w:val="32"/>
          <w:highlight w:val="none"/>
          <w:lang w:val="en-US" w:eastAsia="zh-CN"/>
        </w:rPr>
        <w:t>。</w:t>
      </w:r>
    </w:p>
    <w:p w14:paraId="784DCEAB">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我校严格执行《怀化市本级财政专项资金管理办法》《怀化市本级政府投资项目工程预结（决）算管理办法》等相关制度，实行项目责任制管理。主要领导负责项目的日常检查和监督工作，业务部门根据项目工作开展情况，认真履职，督促加快各项工作进度，确保项目工作稳步推进。</w:t>
      </w:r>
    </w:p>
    <w:p w14:paraId="1164E34E">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专项项目严格按照《中华人民共和国政府采购法》、《中华人民共和国招标投标法》、《湖南省政府采购电子卖场管理办法》等相关规定履行采购手续，业务科室加强项目管理，财务部门强化资金监管，确保财政资金使用效益。</w:t>
      </w:r>
    </w:p>
    <w:p w14:paraId="210E051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项目绩效目标</w:t>
      </w:r>
    </w:p>
    <w:p w14:paraId="38167553">
      <w:pPr>
        <w:pStyle w:val="8"/>
        <w:spacing w:before="0" w:beforeAutospacing="0" w:after="0" w:afterAutospacing="0" w:line="480" w:lineRule="auto"/>
        <w:ind w:firstLine="480"/>
        <w:jc w:val="both"/>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w:t>
      </w:r>
      <w:r>
        <w:rPr>
          <w:rFonts w:hint="default" w:ascii="Times New Roman Regular" w:hAnsi="Times New Roman Regular" w:eastAsia="仿宋_GB2312" w:cs="Times New Roman Regular"/>
          <w:color w:val="auto"/>
          <w:kern w:val="2"/>
          <w:sz w:val="32"/>
          <w:szCs w:val="32"/>
          <w:highlight w:val="none"/>
          <w:lang w:val="en-US" w:eastAsia="zh-CN" w:bidi="ar-SA"/>
        </w:rPr>
        <w:t>项目主要内容。</w:t>
      </w:r>
    </w:p>
    <w:p w14:paraId="783B7814">
      <w:pPr>
        <w:pStyle w:val="8"/>
        <w:spacing w:before="0" w:beforeAutospacing="0" w:after="0" w:afterAutospacing="0" w:line="480" w:lineRule="auto"/>
        <w:ind w:firstLine="480"/>
        <w:jc w:val="both"/>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仿宋" w:hAnsi="仿宋" w:eastAsia="仿宋" w:cs="Times New Roman"/>
          <w:spacing w:val="-2"/>
          <w:kern w:val="2"/>
          <w:sz w:val="32"/>
          <w:szCs w:val="32"/>
          <w:lang w:val="en-US" w:eastAsia="zh-CN" w:bidi="ar-SA"/>
        </w:rPr>
        <w:t>保安经费：主要用于支付保安人员服务费；校方责任险：主要用于支付校方责任险，维护校方的合法权益；学校电线线路改造，寻梦楼一楼地面及污水池维修：用于保障学校区域内各项电路设备正常运行，维护正常工作秩序，防范于未然。</w:t>
      </w:r>
    </w:p>
    <w:p w14:paraId="19F573DC">
      <w:pPr>
        <w:pStyle w:val="2"/>
        <w:ind w:firstLine="640" w:firstLineChars="200"/>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w:t>
      </w:r>
      <w:r>
        <w:rPr>
          <w:rFonts w:hint="default" w:ascii="Times New Roman Regular" w:hAnsi="Times New Roman Regular" w:eastAsia="仿宋_GB2312" w:cs="Times New Roman Regular"/>
          <w:color w:val="auto"/>
          <w:kern w:val="2"/>
          <w:sz w:val="32"/>
          <w:szCs w:val="32"/>
          <w:highlight w:val="none"/>
          <w:lang w:val="en-US" w:eastAsia="zh-CN" w:bidi="ar-SA"/>
        </w:rPr>
        <w:t>项目应实现的具体绩效目标,包括目标的量化、细化情况以及项目实施进度计划等。</w:t>
      </w:r>
    </w:p>
    <w:p w14:paraId="7FA9ED5B">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根据市财政有关政策文件，遵循客观、合法、公正、实事求是的原则，按照项目报批程序，有序地上报资料，办理实施手续。手续齐备后，保证师生安全及正常的教学，合理安排项目施工。</w:t>
      </w:r>
    </w:p>
    <w:p w14:paraId="324917A8">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绩效总目标：改善办学条件，提升学校品位，提高家长满意度，促进学生综合素质的发展，提高办学质量，办人民满意的学校。</w:t>
      </w:r>
    </w:p>
    <w:p w14:paraId="49EB3FE1">
      <w:pPr>
        <w:pStyle w:val="8"/>
        <w:spacing w:before="0" w:beforeAutospacing="0" w:after="0" w:afterAutospacing="0" w:line="480" w:lineRule="auto"/>
        <w:ind w:firstLine="480"/>
        <w:jc w:val="both"/>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仿宋" w:hAnsi="仿宋" w:eastAsia="仿宋" w:cs="Times New Roman"/>
          <w:spacing w:val="-2"/>
          <w:kern w:val="2"/>
          <w:sz w:val="32"/>
          <w:szCs w:val="32"/>
          <w:lang w:val="en-US" w:eastAsia="zh-CN" w:bidi="ar-SA"/>
        </w:rPr>
        <w:t>阶段性目标：不断改善办学条件，为怀化市的义务教育作出应有的贡献。按标准配置教育教学装备，完善设施，化解大班额，促进教育均衡发展，提高教育教学质量。</w:t>
      </w:r>
    </w:p>
    <w:p w14:paraId="1B6305A1">
      <w:pPr>
        <w:pStyle w:val="2"/>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w:t>
      </w:r>
      <w:r>
        <w:rPr>
          <w:rFonts w:hint="default" w:ascii="Times New Roman Regular" w:hAnsi="Times New Roman Regular" w:eastAsia="仿宋_GB2312" w:cs="Times New Roman Regular"/>
          <w:color w:val="auto"/>
          <w:kern w:val="2"/>
          <w:sz w:val="32"/>
          <w:szCs w:val="32"/>
          <w:highlight w:val="none"/>
          <w:lang w:val="en-US" w:eastAsia="zh-CN" w:bidi="ar-SA"/>
        </w:rPr>
        <w:t>分析评价申报内容是否与实际相符,申报目标是否合理可行</w:t>
      </w:r>
      <w:r>
        <w:rPr>
          <w:rFonts w:hint="eastAsia" w:ascii="Times New Roman Regular" w:hAnsi="Times New Roman Regular" w:eastAsia="仿宋_GB2312" w:cs="Times New Roman Regular"/>
          <w:color w:val="auto"/>
          <w:kern w:val="2"/>
          <w:sz w:val="32"/>
          <w:szCs w:val="32"/>
          <w:highlight w:val="none"/>
          <w:lang w:val="en-US" w:eastAsia="zh-CN" w:bidi="ar-SA"/>
        </w:rPr>
        <w:t>。</w:t>
      </w:r>
    </w:p>
    <w:p w14:paraId="762766D1">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default" w:ascii="仿宋" w:hAnsi="仿宋" w:eastAsia="仿宋" w:cs="Times New Roman"/>
          <w:spacing w:val="-2"/>
          <w:kern w:val="2"/>
          <w:sz w:val="32"/>
          <w:szCs w:val="32"/>
          <w:lang w:val="en-US" w:eastAsia="zh-CN" w:bidi="ar-SA"/>
        </w:rPr>
        <w:t>分析评价申报内容与实际相符,申报目标合理可行</w:t>
      </w:r>
      <w:r>
        <w:rPr>
          <w:rFonts w:hint="eastAsia" w:ascii="仿宋" w:hAnsi="仿宋" w:eastAsia="仿宋" w:cs="Times New Roman"/>
          <w:spacing w:val="-2"/>
          <w:kern w:val="2"/>
          <w:sz w:val="32"/>
          <w:szCs w:val="32"/>
          <w:lang w:val="en-US" w:eastAsia="zh-CN" w:bidi="ar-SA"/>
        </w:rPr>
        <w:t>。</w:t>
      </w:r>
    </w:p>
    <w:p w14:paraId="3433A06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281" w:firstLineChars="1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项目自评步骤及方法</w:t>
      </w:r>
    </w:p>
    <w:p w14:paraId="1A090E3B">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（1）成立自评小组：组建由项目负责人、财务人员、技术骨干、业务专家及相关管理人员构成的自评小组，明确小组成员分工与职责，确保从项目管理、技术、财务等多维度开展全面评估。</w:t>
      </w:r>
    </w:p>
    <w:p w14:paraId="223E1590">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 制定自评方案：依据项目目标、实施方案、评价标准等，制定详细的自评方案，确定自评范围、内容、方法、时间安排及人员分工，确保自评工作有序推进。</w:t>
      </w:r>
    </w:p>
    <w:p w14:paraId="40650202">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 收集资料：全面收集项目相关资料，包括项目申报书、立项批复、实施方案、财务账目、进度报告、验收报告、成果证明等，为自评提供充足的数据支撑。</w:t>
      </w:r>
    </w:p>
    <w:p w14:paraId="29DB9D48">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（4）实施自评：自评小组对收集的资料进行细致审核，核查项目实施过程的规范性、资料的完整性和真实性，确认项目是否按照计划执行，各项指标是否达到预期要求。</w:t>
      </w:r>
    </w:p>
    <w:p w14:paraId="523CB30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w:t>
      </w:r>
      <w:r>
        <w:rPr>
          <w:rFonts w:hint="default" w:ascii="方正黑体_GBK" w:hAnsi="方正黑体_GBK" w:eastAsia="方正黑体_GBK" w:cs="方正黑体_GBK"/>
          <w:b/>
          <w:bCs/>
          <w:color w:val="auto"/>
          <w:sz w:val="32"/>
          <w:szCs w:val="32"/>
          <w:highlight w:val="none"/>
          <w:lang w:val="en-US" w:eastAsia="zh-CN"/>
        </w:rPr>
        <w:t>项目资金申报及使用情况</w:t>
      </w:r>
    </w:p>
    <w:p w14:paraId="63B6AA1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项目资金申报及批复情况</w:t>
      </w:r>
    </w:p>
    <w:p w14:paraId="47F1402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说明项目资金申报、批复及预算调整等程序的相关情况。</w:t>
      </w:r>
    </w:p>
    <w:p w14:paraId="58302F6F">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项目资金由财政部门、教育主管按照项目计划、工程进度，年底预算上报，次年预算批复，年中预算调整。</w:t>
      </w:r>
    </w:p>
    <w:p w14:paraId="4DB9EED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资金计划、到位及使用情况(可用表格形式反映)</w:t>
      </w:r>
    </w:p>
    <w:p w14:paraId="56A3C5F0">
      <w:pPr>
        <w:pStyle w:val="8"/>
        <w:spacing w:before="0" w:beforeAutospacing="0" w:after="0" w:afterAutospacing="0" w:line="480" w:lineRule="auto"/>
        <w:ind w:firstLine="480"/>
        <w:jc w:val="both"/>
        <w:rPr>
          <w:rFonts w:hint="default" w:ascii="Times New Roman Regular" w:hAnsi="Times New Roman Regular" w:eastAsia="仿宋_GB2312" w:cs="Times New Roman Regular"/>
          <w:b/>
          <w:bCs/>
          <w:i w:val="0"/>
          <w:iCs w:val="0"/>
          <w:color w:val="auto"/>
          <w:sz w:val="32"/>
          <w:szCs w:val="32"/>
          <w:highlight w:val="none"/>
          <w:lang w:val="en-US" w:eastAsia="zh-CN"/>
        </w:rPr>
      </w:pPr>
      <w:r>
        <w:rPr>
          <w:rFonts w:hint="default" w:ascii="Times New Roman Regular" w:hAnsi="Times New Roman Regular" w:eastAsia="仿宋_GB2312" w:cs="Times New Roman Regular"/>
          <w:b/>
          <w:bCs/>
          <w:i w:val="0"/>
          <w:iCs w:val="0"/>
          <w:color w:val="auto"/>
          <w:sz w:val="32"/>
          <w:szCs w:val="32"/>
          <w:highlight w:val="none"/>
          <w:lang w:val="en-US" w:eastAsia="zh-CN"/>
        </w:rPr>
        <w:t>1.资金计划。</w:t>
      </w:r>
    </w:p>
    <w:p w14:paraId="40F1EEC7">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我校专项资金均为财政拨款资金。</w:t>
      </w:r>
    </w:p>
    <w:p w14:paraId="42B52A55">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480" w:leftChars="0" w:firstLine="0" w:firstLineChars="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资金到位</w:t>
      </w:r>
      <w:r>
        <w:rPr>
          <w:rFonts w:hint="default" w:ascii="Times New Roman Regular" w:hAnsi="Times New Roman Regular" w:eastAsia="仿宋_GB2312" w:cs="Times New Roman Regular"/>
          <w:color w:val="auto"/>
          <w:sz w:val="32"/>
          <w:szCs w:val="32"/>
          <w:highlight w:val="none"/>
          <w:lang w:val="en-US" w:eastAsia="zh-CN"/>
        </w:rPr>
        <w:t>。</w:t>
      </w:r>
    </w:p>
    <w:p w14:paraId="0C2E6254">
      <w:pPr>
        <w:pStyle w:val="8"/>
        <w:spacing w:before="0" w:beforeAutospacing="0" w:after="0" w:afterAutospacing="0" w:line="480" w:lineRule="auto"/>
        <w:ind w:firstLine="480"/>
        <w:jc w:val="both"/>
        <w:rPr>
          <w:rFonts w:hint="default"/>
          <w:lang w:val="en-US" w:eastAsia="zh-CN"/>
        </w:rPr>
      </w:pPr>
      <w:r>
        <w:rPr>
          <w:rFonts w:hint="eastAsia" w:ascii="仿宋" w:hAnsi="仿宋" w:eastAsia="仿宋" w:cs="Times New Roman"/>
          <w:spacing w:val="-2"/>
          <w:kern w:val="2"/>
          <w:sz w:val="32"/>
          <w:szCs w:val="32"/>
          <w:lang w:val="en-US" w:eastAsia="zh-CN" w:bidi="ar-SA"/>
        </w:rPr>
        <w:t>2024年财政下达我校专项资金106.8万元，其中学校电线线路改造，寻梦楼一楼地面及污水池维修80万元，保安经费21.73万元，校方责任险5.07万元。</w:t>
      </w:r>
    </w:p>
    <w:p w14:paraId="434A2379">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480" w:leftChars="0" w:firstLine="0" w:firstLine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资金使用。</w:t>
      </w:r>
    </w:p>
    <w:p w14:paraId="4243A6E6">
      <w:pPr>
        <w:pStyle w:val="8"/>
        <w:spacing w:before="0" w:beforeAutospacing="0" w:after="0" w:afterAutospacing="0" w:line="480" w:lineRule="auto"/>
        <w:ind w:firstLine="48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2024年我校专项资金支出100.51万元。其中学校电线线路改造，寻梦楼一楼地面及污水池维修已支付73.71万元，剩2.9万元质保金未支付，保安经费21.73万元，校方责任险5.07万元。</w:t>
      </w:r>
    </w:p>
    <w:p w14:paraId="364FA7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项目财务管理情况</w:t>
      </w:r>
    </w:p>
    <w:p w14:paraId="222D5224">
      <w:pPr>
        <w:pStyle w:val="2"/>
        <w:keepNext w:val="0"/>
        <w:keepLines w:val="0"/>
        <w:pageBreakBefore w:val="0"/>
        <w:widowControl w:val="0"/>
        <w:kinsoku/>
        <w:wordWrap/>
        <w:overflowPunct/>
        <w:topLinePunct w:val="0"/>
        <w:autoSpaceDE/>
        <w:autoSpaceDN/>
        <w:bidi w:val="0"/>
        <w:adjustRightInd/>
        <w:snapToGrid/>
        <w:spacing w:line="210" w:lineRule="atLeast"/>
        <w:ind w:firstLine="353" w:firstLineChars="112"/>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专项资金做到了专款专用，无截留、占用和挪用等情况。项目组织机构健全、职责分工明确、实施程序规范。项目实施进度与预算执行进度按时、按质、完成项目建设任务。由专人负责监督项目的实施，项目完成后，由本校及有关人员进行检查验收。</w:t>
      </w:r>
    </w:p>
    <w:p w14:paraId="579C036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w:t>
      </w:r>
      <w:r>
        <w:rPr>
          <w:rFonts w:hint="default" w:ascii="方正黑体_GBK" w:hAnsi="方正黑体_GBK" w:eastAsia="方正黑体_GBK" w:cs="方正黑体_GBK"/>
          <w:b/>
          <w:bCs/>
          <w:color w:val="auto"/>
          <w:sz w:val="32"/>
          <w:szCs w:val="32"/>
          <w:highlight w:val="none"/>
          <w:lang w:val="en-US" w:eastAsia="zh-CN"/>
        </w:rPr>
        <w:t>项目实施及管理情况</w:t>
      </w:r>
    </w:p>
    <w:p w14:paraId="5D9D201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结合项目组织实施管理办法,重点围绕以下内容进行分析评价,并对自评中发现的问题分析说明。</w:t>
      </w:r>
    </w:p>
    <w:p w14:paraId="1C450451">
      <w:pPr>
        <w:keepNext w:val="0"/>
        <w:keepLines w:val="0"/>
        <w:pageBreakBefore w:val="0"/>
        <w:widowControl w:val="0"/>
        <w:numPr>
          <w:ilvl w:val="0"/>
          <w:numId w:val="4"/>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default" w:ascii="Times New Roman Regular" w:hAnsi="Times New Roman Regular" w:eastAsia="仿宋_GB2312" w:cs="Times New Roman Regular"/>
          <w:b/>
          <w:bCs/>
          <w:color w:val="auto"/>
          <w:sz w:val="28"/>
          <w:szCs w:val="28"/>
          <w:highlight w:val="none"/>
          <w:lang w:val="en-US" w:eastAsia="zh-CN"/>
        </w:rPr>
        <w:t>项目组织架构及实施流程</w:t>
      </w:r>
    </w:p>
    <w:p w14:paraId="62CA7D3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lang w:val="en-US" w:eastAsia="zh-CN"/>
        </w:rPr>
      </w:pPr>
      <w:r>
        <w:rPr>
          <w:rFonts w:hint="eastAsia" w:ascii="仿宋" w:hAnsi="仿宋" w:eastAsia="仿宋" w:cs="Times New Roman"/>
          <w:spacing w:val="-2"/>
          <w:kern w:val="2"/>
          <w:sz w:val="32"/>
          <w:szCs w:val="32"/>
          <w:lang w:val="en-US" w:eastAsia="zh-CN" w:bidi="ar-SA"/>
        </w:rPr>
        <w:t>针对不同项目内容，将工作任务细化到各部门及个人，各项目严格按照程序进行开展。</w:t>
      </w:r>
    </w:p>
    <w:p w14:paraId="587B139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项目管理情况</w:t>
      </w:r>
    </w:p>
    <w:p w14:paraId="17C113B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lang w:val="en-US" w:eastAsia="zh-CN"/>
        </w:rPr>
      </w:pPr>
      <w:r>
        <w:rPr>
          <w:rFonts w:hint="eastAsia" w:ascii="仿宋" w:hAnsi="仿宋" w:eastAsia="仿宋" w:cs="仿宋"/>
          <w:i w:val="0"/>
          <w:iCs w:val="0"/>
          <w:caps w:val="0"/>
          <w:color w:val="3D3D3D"/>
          <w:spacing w:val="0"/>
          <w:sz w:val="32"/>
          <w:szCs w:val="32"/>
          <w:lang w:val="en-US" w:eastAsia="zh-CN"/>
        </w:rPr>
        <w:t>我校严格执行《怀化市本级财政专项资金管理办法》《怀化市本级政府投资项目工程预结（决）算管理办法》等相关制度，实行项目责任制管理。主要领导负责项目的日常检查和监督工作，业务部门根据项目工作开展情况，认真履职，督促加快各项工作进度，确保项目工作稳步推进。</w:t>
      </w:r>
    </w:p>
    <w:p w14:paraId="5BAF41D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lang w:val="en-US" w:eastAsia="zh-CN"/>
        </w:rPr>
      </w:pPr>
      <w:r>
        <w:rPr>
          <w:rFonts w:ascii="仿宋" w:hAnsi="仿宋" w:eastAsia="仿宋" w:cs="仿宋"/>
          <w:i w:val="0"/>
          <w:iCs w:val="0"/>
          <w:caps w:val="0"/>
          <w:color w:val="3D3D3D"/>
          <w:spacing w:val="0"/>
          <w:sz w:val="32"/>
          <w:szCs w:val="32"/>
          <w:shd w:val="clear" w:fill="FFFFFF"/>
        </w:rPr>
        <w:t>专项项目严格按照《</w:t>
      </w:r>
      <w:r>
        <w:rPr>
          <w:rFonts w:hint="eastAsia" w:ascii="仿宋" w:hAnsi="仿宋" w:eastAsia="仿宋" w:cs="仿宋"/>
          <w:i w:val="0"/>
          <w:iCs w:val="0"/>
          <w:caps w:val="0"/>
          <w:color w:val="3D3D3D"/>
          <w:spacing w:val="0"/>
          <w:sz w:val="32"/>
          <w:szCs w:val="32"/>
          <w:shd w:val="clear" w:fill="FFFFFF"/>
        </w:rPr>
        <w:t>中华人民共和国政府采购法》、《中华人民共和国招标投标法》、《湖南省政府采购电子卖场管理办法》等相关规定履行采购手续，业务科室加强项目管理，财务部门强化资金监管，确保财政资金使用效益。</w:t>
      </w:r>
    </w:p>
    <w:p w14:paraId="79FD4BD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项目监管情况</w:t>
      </w:r>
    </w:p>
    <w:p w14:paraId="4467DB5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在市财政局和教育局的监督下，由总务处负责项目的具体施工，施工过程中发现问题，做到及时整改，依据相关文件精神，确保项目质量和项目成本，完工后由本校及相关部门进行检查验收。</w:t>
      </w:r>
    </w:p>
    <w:p w14:paraId="07DA9A5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320" w:firstLineChars="10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四、项目绩效情况</w:t>
      </w:r>
    </w:p>
    <w:p w14:paraId="2A6416F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项目完成情况</w:t>
      </w:r>
      <w:r>
        <w:rPr>
          <w:rFonts w:hint="eastAsia" w:ascii="Times New Roman Regular" w:hAnsi="Times New Roman Regular" w:eastAsia="仿宋_GB2312" w:cs="Times New Roman Regular"/>
          <w:b/>
          <w:bCs/>
          <w:color w:val="auto"/>
          <w:sz w:val="28"/>
          <w:szCs w:val="28"/>
          <w:highlight w:val="none"/>
          <w:lang w:val="en-US" w:eastAsia="zh-CN"/>
        </w:rPr>
        <w:t xml:space="preserve"> </w:t>
      </w:r>
    </w:p>
    <w:p w14:paraId="2FCDED5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Calibri" w:hAnsi="Calibri" w:cs="Calibri"/>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color="auto" w:fill="FFFFFF"/>
        </w:rPr>
        <w:t>（1）项目的实施进度</w:t>
      </w:r>
    </w:p>
    <w:p w14:paraId="3989B18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根据学校实际情况，一般项目都避开上课时间进行，严格控制项目实施进度，不影响正常教学秩序。</w:t>
      </w:r>
    </w:p>
    <w:p w14:paraId="5C29991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Calibri" w:hAnsi="Calibri" w:cs="Calibri"/>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color="auto" w:fill="FFFFFF"/>
        </w:rPr>
        <w:t>（2）项目完成质量</w:t>
      </w:r>
    </w:p>
    <w:p w14:paraId="3CBB6B3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Times New Roman"/>
          <w:spacing w:val="-2"/>
          <w:kern w:val="2"/>
          <w:sz w:val="32"/>
          <w:szCs w:val="32"/>
          <w:lang w:val="en-US" w:eastAsia="zh-CN" w:bidi="ar-SA"/>
        </w:rPr>
        <w:t>项目完成后，由本校有关人员及相关部门进行检查验收。</w:t>
      </w:r>
    </w:p>
    <w:p w14:paraId="372F1715">
      <w:pPr>
        <w:pStyle w:val="2"/>
        <w:rPr>
          <w:rFonts w:hint="default"/>
          <w:lang w:val="en-US" w:eastAsia="zh-CN"/>
        </w:rPr>
      </w:pPr>
    </w:p>
    <w:p w14:paraId="1D3D368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项目效益情况</w:t>
      </w:r>
    </w:p>
    <w:p w14:paraId="3E20ED5C">
      <w:pPr>
        <w:pStyle w:val="15"/>
        <w:spacing w:line="360" w:lineRule="auto"/>
        <w:ind w:firstLine="643" w:firstLineChars="200"/>
        <w:rPr>
          <w:rFonts w:hint="eastAsia" w:ascii="楷体" w:eastAsia="楷体"/>
          <w:b/>
          <w:sz w:val="32"/>
          <w:szCs w:val="32"/>
        </w:rPr>
      </w:pPr>
      <w:r>
        <w:rPr>
          <w:rFonts w:hint="eastAsia" w:ascii="楷体" w:eastAsia="楷体"/>
          <w:b/>
          <w:sz w:val="32"/>
          <w:szCs w:val="32"/>
        </w:rPr>
        <w:t>1、项目经济性分析</w:t>
      </w:r>
    </w:p>
    <w:p w14:paraId="46F6994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Calibri" w:hAnsi="Calibri" w:cs="Calibri"/>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color="auto" w:fill="FFFFFF"/>
        </w:rPr>
        <w:t>（1）项目成本（预算）控制情况</w:t>
      </w:r>
    </w:p>
    <w:p w14:paraId="5518669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项目严格按照预算控制，加强流程管理，严审开支情况，做到控制成本。</w:t>
      </w:r>
    </w:p>
    <w:p w14:paraId="274AD9C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Calibri" w:hAnsi="Calibri" w:cs="Calibri"/>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color="auto" w:fill="FFFFFF"/>
        </w:rPr>
        <w:t>（2）项目成本（预算）节约情况</w:t>
      </w:r>
    </w:p>
    <w:p w14:paraId="19C12F6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项目资金做到了专款专用，无截留、占用和挪用等情况。</w:t>
      </w:r>
    </w:p>
    <w:p w14:paraId="3E89A2BE">
      <w:pPr>
        <w:pStyle w:val="15"/>
        <w:spacing w:line="360" w:lineRule="auto"/>
        <w:ind w:firstLine="643" w:firstLineChars="200"/>
        <w:rPr>
          <w:rFonts w:hint="eastAsia" w:ascii="楷体" w:eastAsia="楷体"/>
          <w:b/>
          <w:sz w:val="32"/>
          <w:szCs w:val="32"/>
        </w:rPr>
      </w:pPr>
      <w:r>
        <w:rPr>
          <w:rFonts w:hint="eastAsia" w:ascii="楷体" w:eastAsia="楷体"/>
          <w:b/>
          <w:sz w:val="32"/>
          <w:szCs w:val="32"/>
        </w:rPr>
        <w:t>3、项目的效益性分析</w:t>
      </w:r>
    </w:p>
    <w:p w14:paraId="302DAC3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Calibri" w:hAnsi="Calibri" w:cs="Calibri"/>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color="auto" w:fill="FFFFFF"/>
        </w:rPr>
        <w:t>（1）项目预期目标完成程度</w:t>
      </w:r>
    </w:p>
    <w:p w14:paraId="1E135AE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项目按计划有条不紊的进行，截2024年底，所有项目预期目标基本完成。</w:t>
      </w:r>
    </w:p>
    <w:p w14:paraId="76D40D3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Calibri" w:hAnsi="Calibri" w:cs="Calibri"/>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color="auto" w:fill="FFFFFF"/>
        </w:rPr>
        <w:t>（2）项目实施对经济和社会的影响</w:t>
      </w:r>
    </w:p>
    <w:p w14:paraId="1A0E361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项目的完成旨在完善我校办学环境，提高教育教学质量，为学生的学习和老师的工作提供基础性支撑，受到了师生及家长的广泛好评。</w:t>
      </w:r>
    </w:p>
    <w:p w14:paraId="0EC689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五、</w:t>
      </w:r>
      <w:r>
        <w:rPr>
          <w:rFonts w:hint="default" w:ascii="方正黑体_GBK" w:hAnsi="方正黑体_GBK" w:eastAsia="方正黑体_GBK" w:cs="方正黑体_GBK"/>
          <w:color w:val="auto"/>
          <w:sz w:val="32"/>
          <w:szCs w:val="32"/>
          <w:highlight w:val="none"/>
          <w:lang w:val="en-US" w:eastAsia="zh-CN"/>
        </w:rPr>
        <w:t>评价结论及建议</w:t>
      </w:r>
    </w:p>
    <w:p w14:paraId="2737626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评价结论</w:t>
      </w:r>
    </w:p>
    <w:p w14:paraId="547797B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1.项目立项。项目立项规范，绩效目标合理、指标明确。</w:t>
      </w:r>
    </w:p>
    <w:p w14:paraId="5862984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2.资金落实。项目资金全部及时到位。</w:t>
      </w:r>
    </w:p>
    <w:p w14:paraId="5E4A8D8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3.业务管理。管理制度健全，项目执行有效，保质保量。</w:t>
      </w:r>
    </w:p>
    <w:p w14:paraId="39F421C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4.财务管理。财务制度健全，资金使用合规，监控有效。</w:t>
      </w:r>
    </w:p>
    <w:p w14:paraId="11A022B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5.项目产出。完成及时，质量合格，拨付手续完备。</w:t>
      </w:r>
    </w:p>
    <w:p w14:paraId="15DD5E6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10" w:lineRule="atLeast"/>
        <w:ind w:left="0" w:right="0" w:firstLine="640"/>
        <w:jc w:val="both"/>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Times New Roman"/>
          <w:spacing w:val="-2"/>
          <w:kern w:val="2"/>
          <w:sz w:val="32"/>
          <w:szCs w:val="32"/>
          <w:lang w:val="en-US" w:eastAsia="zh-CN" w:bidi="ar-SA"/>
        </w:rPr>
        <w:t>6.项目效益。改善学校办学条件，提升教学质量。</w:t>
      </w:r>
    </w:p>
    <w:p w14:paraId="3843F06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存在的问题</w:t>
      </w:r>
    </w:p>
    <w:p w14:paraId="3289D922">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预算追加经费数额大，下达时间比较晚，有些项目资金执行时间比较长，造成预算执行率偏差大。</w:t>
      </w:r>
    </w:p>
    <w:p w14:paraId="6E5EDDA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相关建议</w:t>
      </w:r>
    </w:p>
    <w:p w14:paraId="5B403B3A">
      <w:pPr>
        <w:pStyle w:val="8"/>
        <w:spacing w:before="0" w:beforeAutospacing="0" w:after="0" w:afterAutospacing="0" w:line="480" w:lineRule="auto"/>
        <w:ind w:firstLine="480"/>
        <w:jc w:val="both"/>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细化预算编制工作，认真做好预算的编制。将各项收入纳入单位预算管理，进一步加强内部机构各科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w:t>
      </w:r>
    </w:p>
    <w:p w14:paraId="238B792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468C6D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52724B6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5E5BA00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932D99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AA67FC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B83C2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5DF35CD-D603-4938-B650-9D7331FB7D8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A2299E1-6047-41E6-BE21-FE65E2252485}"/>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343970F1-109D-488A-9C8C-DAC06CCF09DE}"/>
  </w:font>
  <w:font w:name="方正小标宋_GBK">
    <w:panose1 w:val="03000509000000000000"/>
    <w:charset w:val="86"/>
    <w:family w:val="auto"/>
    <w:pitch w:val="default"/>
    <w:sig w:usb0="00000001" w:usb1="080E0000" w:usb2="00000000" w:usb3="00000000" w:csb0="00040000" w:csb1="00000000"/>
    <w:embedRegular r:id="rId4" w:fontKey="{05642597-874E-48D0-80D3-6E91E95725CE}"/>
  </w:font>
  <w:font w:name="方正小标宋简体">
    <w:panose1 w:val="03000509000000000000"/>
    <w:charset w:val="86"/>
    <w:family w:val="auto"/>
    <w:pitch w:val="default"/>
    <w:sig w:usb0="00000001" w:usb1="080E0000" w:usb2="00000000" w:usb3="00000000" w:csb0="00040000" w:csb1="00000000"/>
    <w:embedRegular r:id="rId5" w:fontKey="{3CE8C11A-653D-4C7D-850D-55F26C4AA65A}"/>
  </w:font>
  <w:font w:name="仿宋_GB2312">
    <w:panose1 w:val="02010609030101010101"/>
    <w:charset w:val="86"/>
    <w:family w:val="auto"/>
    <w:pitch w:val="default"/>
    <w:sig w:usb0="00000001" w:usb1="080E0000" w:usb2="00000000" w:usb3="00000000" w:csb0="00040000" w:csb1="00000000"/>
    <w:embedRegular r:id="rId6" w:fontKey="{8CC732B0-45FB-4312-86C7-C8832981A880}"/>
  </w:font>
  <w:font w:name="仿宋">
    <w:panose1 w:val="02010609060101010101"/>
    <w:charset w:val="86"/>
    <w:family w:val="auto"/>
    <w:pitch w:val="default"/>
    <w:sig w:usb0="800002BF" w:usb1="38CF7CFA" w:usb2="00000016" w:usb3="00000000" w:csb0="00040001" w:csb1="00000000"/>
    <w:embedRegular r:id="rId7" w:fontKey="{9EFBFB6F-593B-4CD1-9C57-0D225471AF5D}"/>
  </w:font>
  <w:font w:name="华文中宋">
    <w:panose1 w:val="02010600040101010101"/>
    <w:charset w:val="86"/>
    <w:family w:val="auto"/>
    <w:pitch w:val="default"/>
    <w:sig w:usb0="00000287" w:usb1="080F0000" w:usb2="00000000" w:usb3="00000000" w:csb0="0004009F" w:csb1="DFD70000"/>
    <w:embedRegular r:id="rId8" w:fontKey="{454478C7-C9CC-4B0E-832C-286811D74470}"/>
  </w:font>
  <w:font w:name="方正黑体_GBK">
    <w:altName w:val="微软雅黑"/>
    <w:panose1 w:val="02000000000000000000"/>
    <w:charset w:val="86"/>
    <w:family w:val="auto"/>
    <w:pitch w:val="default"/>
    <w:sig w:usb0="00000000" w:usb1="00000000" w:usb2="00000000" w:usb3="00000000" w:csb0="00040000" w:csb1="00000000"/>
    <w:embedRegular r:id="rId9" w:fontKey="{0BDD9550-3B45-4EBC-A181-0FBBC40799B6}"/>
  </w:font>
  <w:font w:name="微软雅黑">
    <w:panose1 w:val="020B0503020204020204"/>
    <w:charset w:val="86"/>
    <w:family w:val="auto"/>
    <w:pitch w:val="default"/>
    <w:sig w:usb0="80000287" w:usb1="2ACF3C50"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10" w:fontKey="{6B355F3B-459F-4219-8337-B97D2F4D60E8}"/>
  </w:font>
  <w:font w:name="方正仿宋_GB2312">
    <w:panose1 w:val="02000000000000000000"/>
    <w:charset w:val="86"/>
    <w:family w:val="auto"/>
    <w:pitch w:val="default"/>
    <w:sig w:usb0="A00002BF" w:usb1="184F6CFA" w:usb2="00000012" w:usb3="00000000" w:csb0="00040001" w:csb1="00000000"/>
    <w:embedRegular r:id="rId11" w:fontKey="{B6C8BF58-C047-42FF-95E5-4C7C78B516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5456A"/>
    <w:multiLevelType w:val="singleLevel"/>
    <w:tmpl w:val="B725456A"/>
    <w:lvl w:ilvl="0" w:tentative="0">
      <w:start w:val="10"/>
      <w:numFmt w:val="chineseCounting"/>
      <w:suff w:val="nothing"/>
      <w:lvlText w:val="%1、"/>
      <w:lvlJc w:val="left"/>
      <w:rPr>
        <w:rFonts w:hint="eastAsia"/>
      </w:rPr>
    </w:lvl>
  </w:abstractNum>
  <w:abstractNum w:abstractNumId="1">
    <w:nsid w:val="B91F8B8B"/>
    <w:multiLevelType w:val="singleLevel"/>
    <w:tmpl w:val="B91F8B8B"/>
    <w:lvl w:ilvl="0" w:tentative="0">
      <w:start w:val="6"/>
      <w:numFmt w:val="chineseCounting"/>
      <w:suff w:val="nothing"/>
      <w:lvlText w:val="%1、"/>
      <w:lvlJc w:val="left"/>
      <w:rPr>
        <w:rFonts w:hint="eastAsia"/>
      </w:rPr>
    </w:lvl>
  </w:abstractNum>
  <w:abstractNum w:abstractNumId="2">
    <w:nsid w:val="CD46A996"/>
    <w:multiLevelType w:val="singleLevel"/>
    <w:tmpl w:val="CD46A996"/>
    <w:lvl w:ilvl="0" w:tentative="0">
      <w:start w:val="2"/>
      <w:numFmt w:val="decimal"/>
      <w:lvlText w:val="%1."/>
      <w:lvlJc w:val="left"/>
      <w:pPr>
        <w:tabs>
          <w:tab w:val="left" w:pos="312"/>
        </w:tabs>
        <w:ind w:left="480" w:leftChars="0" w:firstLine="0" w:firstLineChars="0"/>
      </w:pPr>
    </w:lvl>
  </w:abstractNum>
  <w:abstractNum w:abstractNumId="3">
    <w:nsid w:val="0FC30C0E"/>
    <w:multiLevelType w:val="singleLevel"/>
    <w:tmpl w:val="0FC30C0E"/>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2816CCE"/>
    <w:rsid w:val="04276EE2"/>
    <w:rsid w:val="05E95AA6"/>
    <w:rsid w:val="0C180A78"/>
    <w:rsid w:val="0D276746"/>
    <w:rsid w:val="0D464D9C"/>
    <w:rsid w:val="0DD52794"/>
    <w:rsid w:val="0E956870"/>
    <w:rsid w:val="10C666A5"/>
    <w:rsid w:val="1223366A"/>
    <w:rsid w:val="143877FD"/>
    <w:rsid w:val="17FCFFF6"/>
    <w:rsid w:val="180D33AF"/>
    <w:rsid w:val="19E805B2"/>
    <w:rsid w:val="1CBF872E"/>
    <w:rsid w:val="1DDA0356"/>
    <w:rsid w:val="21C34DC1"/>
    <w:rsid w:val="22B8526B"/>
    <w:rsid w:val="22FE234B"/>
    <w:rsid w:val="277E6F02"/>
    <w:rsid w:val="29990575"/>
    <w:rsid w:val="2AF6742D"/>
    <w:rsid w:val="312A2265"/>
    <w:rsid w:val="333F3E43"/>
    <w:rsid w:val="357E722A"/>
    <w:rsid w:val="36FC0F5D"/>
    <w:rsid w:val="375773F8"/>
    <w:rsid w:val="38F20557"/>
    <w:rsid w:val="393E32BB"/>
    <w:rsid w:val="3AF54855"/>
    <w:rsid w:val="3EFDDE87"/>
    <w:rsid w:val="419B2857"/>
    <w:rsid w:val="41D71DA8"/>
    <w:rsid w:val="450A09F9"/>
    <w:rsid w:val="49725324"/>
    <w:rsid w:val="4C6611ED"/>
    <w:rsid w:val="4D5D3BD3"/>
    <w:rsid w:val="4EB7F892"/>
    <w:rsid w:val="552A0475"/>
    <w:rsid w:val="578D10CB"/>
    <w:rsid w:val="5A5915AC"/>
    <w:rsid w:val="5ABBC979"/>
    <w:rsid w:val="5AE1122D"/>
    <w:rsid w:val="5BFC7B3B"/>
    <w:rsid w:val="5E77C7C6"/>
    <w:rsid w:val="5FFFAAE0"/>
    <w:rsid w:val="6463299A"/>
    <w:rsid w:val="66347B2F"/>
    <w:rsid w:val="667FD72C"/>
    <w:rsid w:val="69A753F0"/>
    <w:rsid w:val="6A12486A"/>
    <w:rsid w:val="6A3616A4"/>
    <w:rsid w:val="6ABE64BE"/>
    <w:rsid w:val="6B5F16C5"/>
    <w:rsid w:val="6CF3EA5A"/>
    <w:rsid w:val="753C4E9B"/>
    <w:rsid w:val="769B7804"/>
    <w:rsid w:val="779FCBF0"/>
    <w:rsid w:val="77F7E21B"/>
    <w:rsid w:val="781113A7"/>
    <w:rsid w:val="791E6510"/>
    <w:rsid w:val="79E2F975"/>
    <w:rsid w:val="7A097067"/>
    <w:rsid w:val="7B3BDBF2"/>
    <w:rsid w:val="7C8D4A41"/>
    <w:rsid w:val="7EBDCBBF"/>
    <w:rsid w:val="7EC74CC1"/>
    <w:rsid w:val="7EE6408F"/>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4">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2">
    <w:name w:val="Default Paragraph Font"/>
    <w:autoRedefine/>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szCs w:val="18"/>
    </w:rPr>
  </w:style>
  <w:style w:type="paragraph" w:styleId="5">
    <w:name w:val="Body Text Indent"/>
    <w:basedOn w:val="1"/>
    <w:autoRedefine/>
    <w:unhideWhenUsed/>
    <w:qFormat/>
    <w:uiPriority w:val="0"/>
    <w:pPr>
      <w:spacing w:beforeLines="0" w:afterLines="0"/>
      <w:ind w:firstLine="640" w:firstLineChars="200"/>
    </w:pPr>
    <w:rPr>
      <w:rFonts w:hint="default"/>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autoRedefine/>
    <w:unhideWhenUsed/>
    <w:qFormat/>
    <w:uiPriority w:val="99"/>
    <w:pPr>
      <w:spacing w:beforeLines="0" w:afterLines="0"/>
      <w:ind w:firstLine="420"/>
    </w:pPr>
    <w:rPr>
      <w:rFonts w:hint="default"/>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标题1"/>
    <w:basedOn w:val="4"/>
    <w:autoRedefine/>
    <w:qFormat/>
    <w:uiPriority w:val="0"/>
    <w:rPr>
      <w:rFonts w:eastAsia="黑体"/>
    </w:rPr>
  </w:style>
  <w:style w:type="paragraph" w:customStyle="1" w:styleId="14">
    <w:name w:val="首行缩进"/>
    <w:basedOn w:val="1"/>
    <w:autoRedefine/>
    <w:qFormat/>
    <w:uiPriority w:val="0"/>
    <w:pPr>
      <w:ind w:firstLine="480" w:firstLineChars="200"/>
    </w:pPr>
    <w:rPr>
      <w:lang w:val="zh-CN"/>
    </w:rPr>
  </w:style>
  <w:style w:type="paragraph" w:customStyle="1" w:styleId="15">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585</Words>
  <Characters>716</Characters>
  <Lines>0</Lines>
  <Paragraphs>0</Paragraphs>
  <TotalTime>137</TotalTime>
  <ScaleCrop>false</ScaleCrop>
  <LinksUpToDate>false</LinksUpToDate>
  <CharactersWithSpaces>887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admin</cp:lastModifiedBy>
  <cp:lastPrinted>2025-06-12T01:14:29Z</cp:lastPrinted>
  <dcterms:modified xsi:type="dcterms:W3CDTF">2025-06-12T03:00:23Z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AA1FE49934E94DB18656A162C9BD1267_13</vt:lpwstr>
  </property>
  <property fmtid="{D5CDD505-2E9C-101B-9397-08002B2CF9AE}" pid="4" name="KSOTemplateDocerSaveRecord">
    <vt:lpwstr>eyJoZGlkIjoiNWMwNzI5ODEzYWYzOWU2OTVmYzBlZDVhMzdlM2MxMzIifQ==</vt:lpwstr>
  </property>
</Properties>
</file>