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hint="eastAsia" w:eastAsia="黑体"/>
          <w:sz w:val="56"/>
          <w:szCs w:val="56"/>
          <w:lang w:val="en-US" w:eastAsia="zh-CN"/>
        </w:rPr>
      </w:pPr>
      <w:r>
        <w:rPr>
          <w:rFonts w:hint="eastAsia"/>
          <w:sz w:val="56"/>
          <w:szCs w:val="56"/>
          <w:lang w:val="en-US" w:eastAsia="zh-CN"/>
        </w:rPr>
        <w:t xml:space="preserve"> </w:t>
      </w: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怀化市宏宇中学</w:t>
      </w:r>
      <w:r>
        <w:rPr>
          <w:rFonts w:hint="eastAsia" w:ascii="方正小标宋_GBK" w:hAnsi="方正小标宋_GBK" w:eastAsia="方正小标宋_GBK" w:cs="方正小标宋_GBK"/>
          <w:sz w:val="84"/>
          <w:szCs w:val="84"/>
        </w:rPr>
        <w:t>部门决算</w:t>
      </w:r>
    </w:p>
    <w:p>
      <w:pPr>
        <w:pStyle w:val="10"/>
        <w:jc w:val="center"/>
        <w:rPr>
          <w:rFonts w:hint="eastAsia" w:ascii="方正小标宋_GBK" w:hAnsi="方正小标宋_GBK" w:eastAsia="方正小标宋_GBK" w:cs="方正小标宋_GBK"/>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spacing w:line="540" w:lineRule="exact"/>
        <w:jc w:val="center"/>
        <w:rPr>
          <w:sz w:val="56"/>
          <w:szCs w:val="56"/>
        </w:rPr>
      </w:pPr>
    </w:p>
    <w:p>
      <w:pPr>
        <w:pStyle w:val="10"/>
        <w:spacing w:line="500" w:lineRule="exact"/>
        <w:jc w:val="both"/>
        <w:rPr>
          <w:b/>
          <w:sz w:val="36"/>
          <w:szCs w:val="28"/>
        </w:rPr>
      </w:pPr>
    </w:p>
    <w:p>
      <w:pPr>
        <w:pStyle w:val="10"/>
        <w:spacing w:line="500" w:lineRule="exact"/>
        <w:jc w:val="center"/>
        <w:rPr>
          <w:b/>
          <w:sz w:val="36"/>
          <w:szCs w:val="28"/>
        </w:rPr>
      </w:pPr>
      <w:r>
        <w:rPr>
          <w:rFonts w:hint="eastAsia"/>
          <w:b/>
          <w:sz w:val="36"/>
          <w:szCs w:val="28"/>
        </w:rPr>
        <w:t>目录</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XX</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单位</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概况</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0" w:lineRule="atLeast"/>
        <w:ind w:left="0" w:right="0" w:firstLine="700"/>
        <w:jc w:val="left"/>
        <w:rPr>
          <w:rFonts w:hint="default" w:ascii="宋体" w:hAnsi="宋体" w:eastAsia="宋体" w:cs="宋体"/>
          <w:i w:val="0"/>
          <w:iCs w:val="0"/>
          <w:caps w:val="0"/>
          <w:color w:val="000000"/>
          <w:spacing w:val="0"/>
          <w:sz w:val="28"/>
          <w:szCs w:val="28"/>
          <w:shd w:val="clear" w:color="auto" w:fill="FFFFFF"/>
          <w:lang w:val="en-US" w:eastAsia="zh-CN"/>
        </w:rPr>
      </w:pPr>
      <w:r>
        <w:rPr>
          <w:rFonts w:hint="eastAsia" w:ascii="仿宋_GB2312" w:hAnsi="仿宋_GB2312" w:eastAsia="仿宋_GB2312" w:cs="仿宋_GB2312"/>
          <w:color w:val="000000"/>
          <w:kern w:val="0"/>
          <w:sz w:val="28"/>
          <w:szCs w:val="28"/>
          <w:lang w:val="en-US" w:eastAsia="zh-CN"/>
        </w:rPr>
        <w:t>九、</w:t>
      </w:r>
      <w:r>
        <w:rPr>
          <w:rFonts w:hint="eastAsia" w:ascii="仿宋" w:hAnsi="仿宋" w:eastAsia="仿宋" w:cs="仿宋"/>
          <w:sz w:val="32"/>
          <w:szCs w:val="32"/>
          <w:highlight w:val="none"/>
        </w:rPr>
        <w:t>国有资本经营预算财政拨款支出决算情况说明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、关于预算绩效情况的说明</w:t>
      </w:r>
    </w:p>
    <w:p>
      <w:pPr>
        <w:pStyle w:val="10"/>
        <w:spacing w:line="500" w:lineRule="exact"/>
        <w:ind w:firstLine="560" w:firstLineChars="200"/>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怀化市宏宇中学</w:t>
      </w:r>
      <w:r>
        <w:rPr>
          <w:rFonts w:hint="eastAsia" w:ascii="方正小标宋_GBK" w:hAnsi="方正小标宋_GBK" w:eastAsia="方正小标宋_GBK" w:cs="方正小标宋_GBK"/>
          <w:sz w:val="84"/>
          <w:szCs w:val="84"/>
        </w:rPr>
        <w:t>概况</w:t>
      </w:r>
    </w:p>
    <w:p>
      <w:pPr>
        <w:jc w:val="both"/>
        <w:rPr>
          <w:sz w:val="72"/>
          <w:szCs w:val="72"/>
        </w:rPr>
      </w:pPr>
    </w:p>
    <w:p>
      <w:pPr>
        <w:pStyle w:val="11"/>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spacing w:line="330" w:lineRule="atLeast"/>
        <w:ind w:firstLine="640"/>
        <w:rPr>
          <w:rFonts w:hint="default" w:ascii="仿宋" w:hAnsi="仿宋" w:eastAsia="仿宋"/>
          <w:sz w:val="32"/>
          <w:szCs w:val="32"/>
          <w:lang w:val="en-US" w:eastAsia="zh-CN"/>
        </w:rPr>
      </w:pPr>
      <w:r>
        <w:rPr>
          <w:rFonts w:hint="eastAsia" w:ascii="仿宋" w:hAnsi="仿宋" w:eastAsia="仿宋"/>
          <w:sz w:val="32"/>
          <w:szCs w:val="32"/>
        </w:rPr>
        <w:t>怀化市</w:t>
      </w:r>
      <w:r>
        <w:rPr>
          <w:rFonts w:hint="eastAsia" w:ascii="仿宋" w:hAnsi="仿宋" w:eastAsia="仿宋"/>
          <w:sz w:val="32"/>
          <w:szCs w:val="32"/>
          <w:lang w:val="en-US" w:eastAsia="zh-CN"/>
        </w:rPr>
        <w:t>宏宇中学</w:t>
      </w:r>
      <w:r>
        <w:rPr>
          <w:rFonts w:hint="eastAsia" w:ascii="仿宋" w:hAnsi="仿宋" w:eastAsia="仿宋"/>
          <w:sz w:val="32"/>
          <w:szCs w:val="32"/>
        </w:rPr>
        <w:t>是市人民政府领导下的正</w:t>
      </w:r>
      <w:r>
        <w:rPr>
          <w:rFonts w:hint="eastAsia" w:ascii="仿宋" w:hAnsi="仿宋" w:eastAsia="仿宋"/>
          <w:sz w:val="32"/>
          <w:szCs w:val="32"/>
          <w:lang w:val="en-US" w:eastAsia="zh-CN"/>
        </w:rPr>
        <w:t>科</w:t>
      </w:r>
      <w:r>
        <w:rPr>
          <w:rFonts w:hint="eastAsia" w:ascii="仿宋" w:hAnsi="仿宋" w:eastAsia="仿宋"/>
          <w:sz w:val="32"/>
          <w:szCs w:val="32"/>
        </w:rPr>
        <w:t>级</w:t>
      </w:r>
      <w:r>
        <w:rPr>
          <w:rFonts w:hint="eastAsia" w:ascii="仿宋" w:hAnsi="仿宋" w:eastAsia="仿宋"/>
          <w:sz w:val="32"/>
          <w:szCs w:val="32"/>
          <w:lang w:val="en-US" w:eastAsia="zh-CN"/>
        </w:rPr>
        <w:t>全额</w:t>
      </w:r>
      <w:r>
        <w:rPr>
          <w:rFonts w:hint="eastAsia" w:ascii="仿宋" w:hAnsi="仿宋" w:eastAsia="仿宋"/>
          <w:sz w:val="32"/>
          <w:szCs w:val="32"/>
        </w:rPr>
        <w:t>拨款</w:t>
      </w:r>
      <w:r>
        <w:rPr>
          <w:rFonts w:hint="eastAsia" w:ascii="仿宋" w:hAnsi="仿宋" w:eastAsia="仿宋"/>
          <w:sz w:val="32"/>
          <w:szCs w:val="32"/>
          <w:lang w:val="en-US" w:eastAsia="zh-CN"/>
        </w:rPr>
        <w:t>教育</w:t>
      </w:r>
      <w:r>
        <w:rPr>
          <w:rFonts w:hint="eastAsia" w:ascii="仿宋" w:hAnsi="仿宋" w:eastAsia="仿宋"/>
          <w:sz w:val="32"/>
          <w:szCs w:val="32"/>
        </w:rPr>
        <w:t>单位,业务工作归口怀化市</w:t>
      </w:r>
      <w:r>
        <w:rPr>
          <w:rFonts w:hint="eastAsia" w:ascii="仿宋" w:hAnsi="仿宋" w:eastAsia="仿宋"/>
          <w:sz w:val="32"/>
          <w:szCs w:val="32"/>
          <w:lang w:val="en-US" w:eastAsia="zh-CN"/>
        </w:rPr>
        <w:t>教育局</w:t>
      </w:r>
      <w:r>
        <w:rPr>
          <w:rFonts w:hint="eastAsia" w:ascii="仿宋" w:hAnsi="仿宋" w:eastAsia="仿宋"/>
          <w:sz w:val="32"/>
          <w:szCs w:val="32"/>
        </w:rPr>
        <w:t>主管</w:t>
      </w:r>
      <w:r>
        <w:rPr>
          <w:rFonts w:hint="eastAsia" w:ascii="仿宋" w:hAnsi="仿宋" w:eastAsia="仿宋"/>
          <w:sz w:val="32"/>
          <w:szCs w:val="32"/>
          <w:lang w:eastAsia="zh-CN"/>
        </w:rPr>
        <w:t>。</w:t>
      </w:r>
      <w:r>
        <w:rPr>
          <w:rFonts w:hint="eastAsia" w:ascii="仿宋" w:hAnsi="仿宋" w:eastAsia="仿宋"/>
          <w:sz w:val="32"/>
          <w:szCs w:val="32"/>
        </w:rPr>
        <w:t>负责</w:t>
      </w:r>
      <w:r>
        <w:rPr>
          <w:rFonts w:hint="eastAsia" w:ascii="仿宋" w:hAnsi="仿宋" w:eastAsia="仿宋"/>
          <w:sz w:val="32"/>
          <w:szCs w:val="32"/>
          <w:lang w:val="en-US" w:eastAsia="zh-CN"/>
        </w:rPr>
        <w:t>贯彻国家的教育方针，按照义务教育初中阶段的人才培养要求，组织实施教育教学活动，开展教研教学改革实验，在保证教育质量的前提下，全面推进综合素质教育，创设和谐的校园环境。</w:t>
      </w:r>
    </w:p>
    <w:p>
      <w:pPr>
        <w:jc w:val="left"/>
        <w:rPr>
          <w:rFonts w:hint="eastAsia" w:ascii="Times New Roman" w:hAnsi="Times New Roman" w:eastAsia="仿宋_GB2312" w:cs="仿宋_GB2312"/>
          <w:sz w:val="32"/>
          <w:szCs w:val="32"/>
        </w:rPr>
      </w:pP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spacing w:line="660" w:lineRule="exact"/>
        <w:ind w:firstLine="64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pPr>
        <w:spacing w:line="660" w:lineRule="exact"/>
        <w:ind w:firstLine="640"/>
        <w:rPr>
          <w:rFonts w:hint="eastAsia" w:ascii="仿宋" w:hAnsi="仿宋" w:eastAsia="仿宋" w:cs="仿宋_GB2312"/>
          <w:sz w:val="32"/>
          <w:szCs w:val="32"/>
        </w:rPr>
      </w:pPr>
      <w:r>
        <w:rPr>
          <w:rFonts w:hint="eastAsia" w:ascii="Times New Roman" w:hAnsi="Times New Roman" w:eastAsia="仿宋_GB2312" w:cs="仿宋_GB2312"/>
          <w:bCs/>
          <w:kern w:val="0"/>
          <w:sz w:val="32"/>
          <w:szCs w:val="32"/>
          <w:lang w:eastAsia="zh-CN"/>
        </w:rPr>
        <w:t>怀化市宏宇中学</w:t>
      </w:r>
      <w:r>
        <w:rPr>
          <w:rFonts w:hint="eastAsia" w:ascii="Times New Roman" w:hAnsi="Times New Roman" w:eastAsia="仿宋_GB2312" w:cs="仿宋_GB2312"/>
          <w:bCs/>
          <w:kern w:val="0"/>
          <w:sz w:val="32"/>
          <w:szCs w:val="32"/>
        </w:rPr>
        <w:t>内设机构包括：</w:t>
      </w:r>
      <w:r>
        <w:rPr>
          <w:rFonts w:hint="eastAsia" w:ascii="仿宋" w:hAnsi="仿宋" w:eastAsia="仿宋" w:cs="仿宋_GB2312"/>
          <w:sz w:val="32"/>
          <w:szCs w:val="32"/>
          <w:lang w:val="en-US" w:eastAsia="zh-CN"/>
        </w:rPr>
        <w:t>教务处、德育处、总务处、办公室、教科室、现教室、督导室七</w:t>
      </w:r>
      <w:r>
        <w:rPr>
          <w:rFonts w:hint="eastAsia" w:ascii="仿宋" w:hAnsi="仿宋" w:eastAsia="仿宋" w:cs="仿宋_GB2312"/>
          <w:sz w:val="32"/>
          <w:szCs w:val="32"/>
        </w:rPr>
        <w:t>个部门。</w:t>
      </w:r>
    </w:p>
    <w:p>
      <w:pPr>
        <w:widowControl/>
        <w:numPr>
          <w:ilvl w:val="0"/>
          <w:numId w:val="2"/>
        </w:numPr>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决算单位构成</w:t>
      </w:r>
    </w:p>
    <w:p>
      <w:pPr>
        <w:widowControl/>
        <w:numPr>
          <w:ilvl w:val="0"/>
          <w:numId w:val="0"/>
        </w:numPr>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怀化市宏宇中学</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怀化市宏宇中学本级。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pStyle w:val="10"/>
        <w:ind w:firstLine="3360" w:firstLineChars="400"/>
        <w:jc w:val="both"/>
        <w:rPr>
          <w:rFonts w:hint="eastAsia" w:ascii="方正小标宋_GBK" w:hAnsi="方正小标宋_GBK" w:eastAsia="方正小标宋_GBK" w:cs="方正小标宋_GBK"/>
          <w:sz w:val="84"/>
          <w:szCs w:val="84"/>
        </w:rPr>
      </w:pPr>
      <w:bookmarkStart w:id="3" w:name="_GoBack"/>
      <w:bookmarkEnd w:id="3"/>
      <w:r>
        <w:rPr>
          <w:rFonts w:hint="eastAsia" w:ascii="方正小标宋_GBK" w:hAnsi="方正小标宋_GBK" w:eastAsia="方正小标宋_GBK" w:cs="方正小标宋_GBK"/>
          <w:sz w:val="84"/>
          <w:szCs w:val="84"/>
        </w:rPr>
        <w:t>第二部分</w:t>
      </w: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5428" w:type="dxa"/>
        <w:tblInd w:w="0" w:type="dxa"/>
        <w:tblLayout w:type="fixed"/>
        <w:tblCellMar>
          <w:top w:w="0" w:type="dxa"/>
          <w:left w:w="0" w:type="dxa"/>
          <w:bottom w:w="0" w:type="dxa"/>
          <w:right w:w="0" w:type="dxa"/>
        </w:tblCellMar>
      </w:tblPr>
      <w:tblGrid>
        <w:gridCol w:w="297"/>
        <w:gridCol w:w="550"/>
        <w:gridCol w:w="2729"/>
        <w:gridCol w:w="1680"/>
        <w:gridCol w:w="1717"/>
        <w:gridCol w:w="1355"/>
        <w:gridCol w:w="1772"/>
        <w:gridCol w:w="1391"/>
        <w:gridCol w:w="1988"/>
        <w:gridCol w:w="1949"/>
      </w:tblGrid>
      <w:tr>
        <w:tblPrEx>
          <w:tblCellMar>
            <w:top w:w="0" w:type="dxa"/>
            <w:left w:w="0" w:type="dxa"/>
            <w:bottom w:w="0" w:type="dxa"/>
            <w:right w:w="0" w:type="dxa"/>
          </w:tblCellMar>
        </w:tblPrEx>
        <w:trPr>
          <w:trHeight w:val="530"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tbl>
            <w:tblPr>
              <w:tblStyle w:val="6"/>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42"/>
              <w:gridCol w:w="603"/>
              <w:gridCol w:w="1399"/>
              <w:gridCol w:w="5033"/>
              <w:gridCol w:w="1165"/>
              <w:gridCol w:w="456"/>
              <w:gridCol w:w="1726"/>
              <w:gridCol w:w="5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auto"/>
                  <w:vAlign w:val="center"/>
                </w:tcPr>
                <w:p>
                  <w:pPr>
                    <w:jc w:val="left"/>
                    <w:rPr>
                      <w:rFonts w:hint="eastAsia" w:ascii="黑体" w:hAnsi="宋体" w:eastAsia="黑体" w:cs="黑体"/>
                      <w:i w:val="0"/>
                      <w:color w:val="000000"/>
                      <w:sz w:val="24"/>
                      <w:szCs w:val="24"/>
                      <w:u w:val="none"/>
                    </w:rPr>
                  </w:pPr>
                </w:p>
              </w:tc>
              <w:tc>
                <w:tcPr>
                  <w:tcW w:w="603" w:type="dxa"/>
                  <w:tcBorders>
                    <w:top w:val="nil"/>
                    <w:left w:val="nil"/>
                    <w:bottom w:val="nil"/>
                    <w:right w:val="nil"/>
                  </w:tcBorders>
                  <w:shd w:val="clear" w:color="auto" w:fill="auto"/>
                  <w:vAlign w:val="center"/>
                </w:tcPr>
                <w:p>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auto"/>
                  <w:vAlign w:val="center"/>
                </w:tcPr>
                <w:p>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auto"/>
                  <w:vAlign w:val="center"/>
                </w:tcPr>
                <w:p>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auto"/>
                  <w:vAlign w:val="center"/>
                </w:tcPr>
                <w:p>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auto"/>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vAlign w:val="center"/>
                </w:tcPr>
                <w:p>
                  <w:pPr>
                    <w:jc w:val="right"/>
                    <w:rPr>
                      <w:rFonts w:hint="eastAsia" w:ascii="宋体" w:hAnsi="宋体" w:eastAsia="宋体" w:cs="宋体"/>
                      <w:i w:val="0"/>
                      <w:color w:val="000000"/>
                      <w:sz w:val="24"/>
                      <w:szCs w:val="24"/>
                      <w:u w:val="none"/>
                    </w:rPr>
                  </w:pPr>
                </w:p>
              </w:tc>
              <w:tc>
                <w:tcPr>
                  <w:tcW w:w="603" w:type="dxa"/>
                  <w:tcBorders>
                    <w:top w:val="nil"/>
                    <w:left w:val="nil"/>
                    <w:bottom w:val="nil"/>
                    <w:right w:val="nil"/>
                  </w:tcBorders>
                  <w:shd w:val="clear" w:color="auto" w:fill="FFFFFF"/>
                  <w:vAlign w:val="center"/>
                </w:tcPr>
                <w:p>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vAlign w:val="center"/>
                </w:tcPr>
                <w:p>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vAlign w:val="center"/>
                </w:tcPr>
                <w:p>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vAlign w:val="center"/>
                </w:tcPr>
                <w:p>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部门：怀化市宏宇中学</w:t>
                  </w:r>
                </w:p>
              </w:tc>
              <w:tc>
                <w:tcPr>
                  <w:tcW w:w="603" w:type="dxa"/>
                  <w:tcBorders>
                    <w:top w:val="nil"/>
                    <w:left w:val="nil"/>
                    <w:bottom w:val="nil"/>
                    <w:right w:val="nil"/>
                  </w:tcBorders>
                  <w:shd w:val="clear" w:color="auto" w:fill="FFFFFF"/>
                  <w:vAlign w:val="center"/>
                </w:tcPr>
                <w:p>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vAlign w:val="center"/>
                </w:tcPr>
                <w:p>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vAlign w:val="center"/>
                </w:tcPr>
                <w:p>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vAlign w:val="center"/>
                </w:tcPr>
                <w:p>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4" w:type="dxa"/>
                <w:trHeight w:val="448" w:hRule="atLeast"/>
              </w:trPr>
              <w:tc>
                <w:tcPr>
                  <w:tcW w:w="644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838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4"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4"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4"/>
                      <w:szCs w:val="24"/>
                      <w:u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24"/>
                      <w:szCs w:val="24"/>
                      <w:u w:val="none"/>
                    </w:rPr>
                  </w:pP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4"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p>
                  <w:pPr>
                    <w:ind w:firstLine="220" w:firstLineChars="100"/>
                    <w:jc w:val="left"/>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3429.61</w:t>
                  </w:r>
                </w:p>
              </w:tc>
              <w:tc>
                <w:tcPr>
                  <w:tcW w:w="50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4"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4"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4"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4"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527.17</w:t>
                  </w:r>
                </w:p>
              </w:tc>
              <w:tc>
                <w:tcPr>
                  <w:tcW w:w="50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3606.14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4"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4"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七、文化旅游体育与传媒支出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4"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八、社会保障支出和就业支出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225.43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4"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2"/>
                      <w:szCs w:val="22"/>
                      <w:u w:val="none"/>
                      <w:lang w:eastAsia="zh-CN"/>
                    </w:rPr>
                    <w:t>九、卫生健康支出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109.21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4"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3956.78</w:t>
                  </w:r>
                </w:p>
              </w:tc>
              <w:tc>
                <w:tcPr>
                  <w:tcW w:w="5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4"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4"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4"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3956.78</w:t>
                  </w:r>
                </w:p>
              </w:tc>
              <w:tc>
                <w:tcPr>
                  <w:tcW w:w="50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660" w:firstLineChars="300"/>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3956.78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90" w:hRule="atLeast"/>
        </w:trPr>
        <w:tc>
          <w:tcPr>
            <w:tcW w:w="297"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550"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729"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80"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17"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55"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72"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91"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88"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49"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847" w:type="dxa"/>
            <w:gridSpan w:val="2"/>
            <w:tcBorders>
              <w:top w:val="nil"/>
              <w:left w:val="nil"/>
              <w:bottom w:val="nil"/>
              <w:right w:val="nil"/>
            </w:tcBorders>
            <w:shd w:val="clear" w:color="000000" w:fill="FFFFFF"/>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2729" w:type="dxa"/>
            <w:tcBorders>
              <w:top w:val="nil"/>
              <w:left w:val="nil"/>
              <w:bottom w:val="nil"/>
              <w:right w:val="nil"/>
            </w:tcBorders>
            <w:shd w:val="clear" w:color="000000" w:fill="FFFFFF"/>
            <w:tcMar>
              <w:top w:w="15" w:type="dxa"/>
              <w:left w:w="15" w:type="dxa"/>
              <w:bottom w:w="0" w:type="dxa"/>
              <w:right w:w="15" w:type="dxa"/>
            </w:tcMar>
            <w:vAlign w:val="center"/>
          </w:tcPr>
          <w:p>
            <w:pPr>
              <w:jc w:val="left"/>
              <w:rPr>
                <w:rFonts w:ascii="宋体" w:hAnsi="宋体" w:eastAsia="宋体" w:cs="宋体"/>
                <w:sz w:val="24"/>
                <w:szCs w:val="24"/>
              </w:rPr>
            </w:pPr>
            <w:r>
              <w:rPr>
                <w:rFonts w:hint="eastAsia"/>
                <w:lang w:eastAsia="zh-CN"/>
              </w:rPr>
              <w:t>怀化市宏宇中学</w:t>
            </w:r>
            <w:r>
              <w:rPr>
                <w:rFonts w:hint="eastAsia"/>
              </w:rPr>
              <w:t>　</w:t>
            </w:r>
          </w:p>
        </w:tc>
        <w:tc>
          <w:tcPr>
            <w:tcW w:w="1680"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17"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55" w:type="dxa"/>
            <w:tcBorders>
              <w:top w:val="nil"/>
              <w:left w:val="nil"/>
              <w:bottom w:val="nil"/>
              <w:right w:val="nil"/>
            </w:tcBorders>
            <w:shd w:val="clear" w:color="000000" w:fill="FFFFFF"/>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772"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91"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88"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49" w:type="dxa"/>
            <w:tcBorders>
              <w:top w:val="nil"/>
              <w:left w:val="nil"/>
              <w:bottom w:val="nil"/>
              <w:right w:val="nil"/>
            </w:tcBorders>
            <w:shd w:val="clear" w:color="000000" w:fill="FFFFFF"/>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3576"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68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71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35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77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39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98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94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2729" w:type="dxa"/>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680" w:type="dxa"/>
            <w:vMerge w:val="continue"/>
            <w:tcBorders>
              <w:top w:val="single" w:color="auto" w:sz="4" w:space="0"/>
              <w:left w:val="single" w:color="auto" w:sz="4" w:space="0"/>
              <w:right w:val="single" w:color="auto" w:sz="4" w:space="0"/>
            </w:tcBorders>
            <w:vAlign w:val="center"/>
          </w:tcPr>
          <w:p>
            <w:pPr>
              <w:rPr>
                <w:rFonts w:ascii="宋体" w:hAnsi="宋体" w:eastAsia="宋体" w:cs="宋体"/>
                <w:sz w:val="24"/>
                <w:szCs w:val="24"/>
              </w:rPr>
            </w:pPr>
          </w:p>
        </w:tc>
        <w:tc>
          <w:tcPr>
            <w:tcW w:w="1717" w:type="dxa"/>
            <w:vMerge w:val="continue"/>
            <w:tcBorders>
              <w:top w:val="single" w:color="auto" w:sz="4" w:space="0"/>
              <w:left w:val="single" w:color="auto" w:sz="4" w:space="0"/>
              <w:right w:val="single" w:color="auto" w:sz="4" w:space="0"/>
            </w:tcBorders>
            <w:vAlign w:val="center"/>
          </w:tcPr>
          <w:p>
            <w:pPr>
              <w:rPr>
                <w:rFonts w:ascii="宋体" w:hAnsi="宋体" w:eastAsia="宋体" w:cs="宋体"/>
                <w:sz w:val="24"/>
                <w:szCs w:val="24"/>
              </w:rPr>
            </w:pPr>
          </w:p>
        </w:tc>
        <w:tc>
          <w:tcPr>
            <w:tcW w:w="1355" w:type="dxa"/>
            <w:vMerge w:val="continue"/>
            <w:tcBorders>
              <w:top w:val="single" w:color="auto" w:sz="4" w:space="0"/>
              <w:left w:val="single" w:color="auto" w:sz="4" w:space="0"/>
              <w:right w:val="single" w:color="auto" w:sz="4" w:space="0"/>
            </w:tcBorders>
            <w:vAlign w:val="center"/>
          </w:tcPr>
          <w:p>
            <w:pPr>
              <w:rPr>
                <w:rFonts w:ascii="宋体" w:hAnsi="宋体" w:eastAsia="宋体" w:cs="宋体"/>
                <w:sz w:val="24"/>
                <w:szCs w:val="24"/>
              </w:rPr>
            </w:pPr>
          </w:p>
        </w:tc>
        <w:tc>
          <w:tcPr>
            <w:tcW w:w="1772" w:type="dxa"/>
            <w:vMerge w:val="continue"/>
            <w:tcBorders>
              <w:top w:val="single" w:color="auto" w:sz="4" w:space="0"/>
              <w:left w:val="single" w:color="auto" w:sz="4" w:space="0"/>
              <w:right w:val="single" w:color="auto" w:sz="4" w:space="0"/>
            </w:tcBorders>
            <w:vAlign w:val="center"/>
          </w:tcPr>
          <w:p>
            <w:pPr>
              <w:rPr>
                <w:rFonts w:ascii="宋体" w:hAnsi="宋体" w:eastAsia="宋体" w:cs="宋体"/>
                <w:sz w:val="24"/>
                <w:szCs w:val="24"/>
              </w:rPr>
            </w:pPr>
          </w:p>
        </w:tc>
        <w:tc>
          <w:tcPr>
            <w:tcW w:w="1391" w:type="dxa"/>
            <w:vMerge w:val="continue"/>
            <w:tcBorders>
              <w:top w:val="single" w:color="auto" w:sz="4" w:space="0"/>
              <w:left w:val="single" w:color="auto" w:sz="4" w:space="0"/>
              <w:right w:val="single" w:color="auto" w:sz="4" w:space="0"/>
            </w:tcBorders>
            <w:vAlign w:val="center"/>
          </w:tcPr>
          <w:p>
            <w:pPr>
              <w:rPr>
                <w:rFonts w:ascii="宋体" w:hAnsi="宋体" w:eastAsia="宋体" w:cs="宋体"/>
                <w:sz w:val="24"/>
                <w:szCs w:val="24"/>
              </w:rPr>
            </w:pPr>
          </w:p>
        </w:tc>
        <w:tc>
          <w:tcPr>
            <w:tcW w:w="1988" w:type="dxa"/>
            <w:vMerge w:val="continue"/>
            <w:tcBorders>
              <w:top w:val="single" w:color="auto" w:sz="4" w:space="0"/>
              <w:left w:val="single" w:color="auto" w:sz="4" w:space="0"/>
              <w:right w:val="single" w:color="auto" w:sz="4" w:space="0"/>
            </w:tcBorders>
            <w:vAlign w:val="center"/>
          </w:tcPr>
          <w:p>
            <w:pPr>
              <w:rPr>
                <w:rFonts w:ascii="宋体" w:hAnsi="宋体" w:eastAsia="宋体" w:cs="宋体"/>
                <w:sz w:val="24"/>
                <w:szCs w:val="24"/>
              </w:rPr>
            </w:pPr>
          </w:p>
        </w:tc>
        <w:tc>
          <w:tcPr>
            <w:tcW w:w="1949" w:type="dxa"/>
            <w:vMerge w:val="continue"/>
            <w:tcBorders>
              <w:top w:val="single" w:color="auto" w:sz="4" w:space="0"/>
              <w:left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3576"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68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71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355"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772"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391"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988"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94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3576"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i w:val="0"/>
                <w:color w:val="000000"/>
                <w:kern w:val="0"/>
                <w:sz w:val="22"/>
                <w:szCs w:val="22"/>
                <w:u w:val="none"/>
                <w:lang w:val="en-US" w:eastAsia="zh-CN" w:bidi="ar"/>
              </w:rPr>
              <w:t>3,956.78</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i w:val="0"/>
                <w:color w:val="000000"/>
                <w:kern w:val="0"/>
                <w:sz w:val="22"/>
                <w:szCs w:val="22"/>
                <w:u w:val="none"/>
                <w:lang w:val="en-US" w:eastAsia="zh-CN" w:bidi="ar"/>
              </w:rPr>
              <w:t>3,429.61</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i w:val="0"/>
                <w:color w:val="000000"/>
                <w:kern w:val="0"/>
                <w:sz w:val="22"/>
                <w:szCs w:val="22"/>
                <w:u w:val="none"/>
                <w:lang w:val="en-US" w:eastAsia="zh-CN" w:bidi="ar"/>
              </w:rPr>
              <w:t>527.17</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r>
              <w:rPr>
                <w:rFonts w:hint="eastAsia"/>
              </w:rPr>
              <w:t>　</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r>
      <w:tr>
        <w:tblPrEx>
          <w:tblCellMar>
            <w:top w:w="0" w:type="dxa"/>
            <w:left w:w="0" w:type="dxa"/>
            <w:bottom w:w="0" w:type="dxa"/>
            <w:right w:w="0" w:type="dxa"/>
          </w:tblCellMar>
        </w:tblPrEx>
        <w:trPr>
          <w:trHeight w:val="450"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201</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一般公共服务支出</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16.00</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16.00</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0.00</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r>
      <w:tr>
        <w:tblPrEx>
          <w:tblCellMar>
            <w:top w:w="0" w:type="dxa"/>
            <w:left w:w="0" w:type="dxa"/>
            <w:bottom w:w="0" w:type="dxa"/>
            <w:right w:w="0" w:type="dxa"/>
          </w:tblCellMar>
        </w:tblPrEx>
        <w:trPr>
          <w:trHeight w:val="450"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20132</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组织事务</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color w:val="000000"/>
                <w:kern w:val="0"/>
                <w:sz w:val="22"/>
                <w:szCs w:val="22"/>
                <w:u w:val="none"/>
                <w:lang w:val="en-US" w:eastAsia="zh-CN" w:bidi="ar"/>
              </w:rPr>
              <w:t>16.00</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16.00</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0.00</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r>
      <w:tr>
        <w:tblPrEx>
          <w:tblCellMar>
            <w:top w:w="0" w:type="dxa"/>
            <w:left w:w="0" w:type="dxa"/>
            <w:bottom w:w="0" w:type="dxa"/>
            <w:right w:w="0" w:type="dxa"/>
          </w:tblCellMar>
        </w:tblPrEx>
        <w:trPr>
          <w:trHeight w:val="450"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2013299</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其他组织事务支出</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16.00</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16.00</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0.00</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r>
      <w:tr>
        <w:tblPrEx>
          <w:tblCellMar>
            <w:top w:w="0" w:type="dxa"/>
            <w:left w:w="0" w:type="dxa"/>
            <w:bottom w:w="0" w:type="dxa"/>
            <w:right w:w="0" w:type="dxa"/>
          </w:tblCellMar>
        </w:tblPrEx>
        <w:trPr>
          <w:trHeight w:val="450"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205</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教育支出</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3,606.14</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3,078.98</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527.17</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r>
      <w:tr>
        <w:tblPrEx>
          <w:tblCellMar>
            <w:top w:w="0" w:type="dxa"/>
            <w:left w:w="0" w:type="dxa"/>
            <w:bottom w:w="0" w:type="dxa"/>
            <w:right w:w="0" w:type="dxa"/>
          </w:tblCellMar>
        </w:tblPrEx>
        <w:trPr>
          <w:trHeight w:val="450"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20502</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普通教育</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3,603.14</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3,075.98</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527.17</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r>
      <w:tr>
        <w:tblPrEx>
          <w:tblCellMar>
            <w:top w:w="0" w:type="dxa"/>
            <w:left w:w="0" w:type="dxa"/>
            <w:bottom w:w="0" w:type="dxa"/>
            <w:right w:w="0" w:type="dxa"/>
          </w:tblCellMar>
        </w:tblPrEx>
        <w:trPr>
          <w:trHeight w:val="383"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2050203</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初中教育</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3,107.17</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2,580.00</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527.17</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0.00</w:t>
            </w:r>
          </w:p>
        </w:tc>
      </w:tr>
      <w:tr>
        <w:tblPrEx>
          <w:tblCellMar>
            <w:top w:w="0" w:type="dxa"/>
            <w:left w:w="0" w:type="dxa"/>
            <w:bottom w:w="0" w:type="dxa"/>
            <w:right w:w="0" w:type="dxa"/>
          </w:tblCellMar>
        </w:tblPrEx>
        <w:trPr>
          <w:trHeight w:val="383"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2050299</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其他普通教育支出</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495.98</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495.98</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0.00</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383"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20599</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其他教育支出</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3.00</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3.00</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0.00</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383"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2059999</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其他教育支出</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3.00</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3.00</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0.00</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383"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社会保障和就业支出</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225.42</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225.42</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0.00</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383"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20805</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行政事业单位养老支出</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225.42</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225.42</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0.00</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383"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2080505</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218.42</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218.42</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0.00</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383"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2080599</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其他行政事业单位养老支出</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7.00</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7.00</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0.00</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383"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卫生健康支出</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109.21</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109.21</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0.00</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r>
              <w:rPr>
                <w:rFonts w:hint="eastAsia"/>
                <w:lang w:val="en-US" w:eastAsia="zh-CN"/>
              </w:rPr>
              <w:t>0.00</w:t>
            </w:r>
          </w:p>
        </w:tc>
      </w:tr>
      <w:tr>
        <w:tblPrEx>
          <w:tblCellMar>
            <w:top w:w="0" w:type="dxa"/>
            <w:left w:w="0" w:type="dxa"/>
            <w:bottom w:w="0" w:type="dxa"/>
            <w:right w:w="0" w:type="dxa"/>
          </w:tblCellMar>
        </w:tblPrEx>
        <w:trPr>
          <w:trHeight w:val="383"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行政事业单位医疗</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109.21</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109.21</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0.00</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eastAsiaTheme="minorEastAsia"/>
                <w:lang w:val="en-US" w:eastAsia="zh-CN"/>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eastAsiaTheme="minorEastAsia"/>
                <w:lang w:val="en-US" w:eastAsia="zh-CN"/>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eastAsiaTheme="minorEastAsia"/>
                <w:lang w:val="en-US" w:eastAsia="zh-CN"/>
              </w:rPr>
            </w:pPr>
            <w:r>
              <w:rPr>
                <w:rFonts w:hint="eastAsia"/>
                <w:lang w:val="en-US" w:eastAsia="zh-CN"/>
              </w:rPr>
              <w:t>0.00</w:t>
            </w:r>
          </w:p>
        </w:tc>
      </w:tr>
      <w:tr>
        <w:tblPrEx>
          <w:tblCellMar>
            <w:top w:w="0" w:type="dxa"/>
            <w:left w:w="0" w:type="dxa"/>
            <w:bottom w:w="0" w:type="dxa"/>
            <w:right w:w="0" w:type="dxa"/>
          </w:tblCellMar>
        </w:tblPrEx>
        <w:trPr>
          <w:trHeight w:val="383" w:hRule="atLeast"/>
        </w:trPr>
        <w:tc>
          <w:tcPr>
            <w:tcW w:w="84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2101101</w:t>
            </w:r>
          </w:p>
        </w:tc>
        <w:tc>
          <w:tcPr>
            <w:tcW w:w="2729"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行政单位医疗</w:t>
            </w:r>
          </w:p>
        </w:tc>
        <w:tc>
          <w:tcPr>
            <w:tcW w:w="168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109.21</w:t>
            </w:r>
          </w:p>
        </w:tc>
        <w:tc>
          <w:tcPr>
            <w:tcW w:w="171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109.21</w:t>
            </w:r>
          </w:p>
        </w:tc>
        <w:tc>
          <w:tcPr>
            <w:tcW w:w="1355"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rPr>
            </w:pPr>
          </w:p>
        </w:tc>
        <w:tc>
          <w:tcPr>
            <w:tcW w:w="1772"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0.00</w:t>
            </w:r>
          </w:p>
        </w:tc>
        <w:tc>
          <w:tcPr>
            <w:tcW w:w="1391"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eastAsiaTheme="minorEastAsia"/>
                <w:lang w:val="en-US" w:eastAsia="zh-CN"/>
              </w:rPr>
            </w:pPr>
            <w:r>
              <w:rPr>
                <w:rFonts w:hint="eastAsia"/>
                <w:lang w:val="en-US" w:eastAsia="zh-CN"/>
              </w:rPr>
              <w:t>0.00</w:t>
            </w:r>
          </w:p>
        </w:tc>
        <w:tc>
          <w:tcPr>
            <w:tcW w:w="1988"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eastAsiaTheme="minorEastAsia"/>
                <w:lang w:val="en-US" w:eastAsia="zh-CN"/>
              </w:rPr>
            </w:pPr>
            <w:r>
              <w:rPr>
                <w:rFonts w:hint="eastAsia"/>
                <w:lang w:val="en-US" w:eastAsia="zh-CN"/>
              </w:rPr>
              <w:t>0.00</w:t>
            </w:r>
          </w:p>
        </w:tc>
        <w:tc>
          <w:tcPr>
            <w:tcW w:w="1949"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eastAsiaTheme="minorEastAsia"/>
                <w:lang w:val="en-US" w:eastAsia="zh-CN"/>
              </w:rPr>
            </w:pPr>
            <w:r>
              <w:rPr>
                <w:rFonts w:hint="eastAsia"/>
                <w:lang w:val="en-US" w:eastAsia="zh-CN"/>
              </w:rPr>
              <w:t>0.00</w:t>
            </w: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6"/>
        <w:tblW w:w="15640" w:type="dxa"/>
        <w:tblInd w:w="93" w:type="dxa"/>
        <w:tblLayout w:type="fixed"/>
        <w:tblCellMar>
          <w:top w:w="0" w:type="dxa"/>
          <w:left w:w="108" w:type="dxa"/>
          <w:bottom w:w="0" w:type="dxa"/>
          <w:right w:w="108" w:type="dxa"/>
        </w:tblCellMar>
      </w:tblPr>
      <w:tblGrid>
        <w:gridCol w:w="1236"/>
        <w:gridCol w:w="240"/>
        <w:gridCol w:w="2371"/>
        <w:gridCol w:w="1537"/>
        <w:gridCol w:w="1539"/>
        <w:gridCol w:w="1991"/>
        <w:gridCol w:w="1991"/>
        <w:gridCol w:w="1991"/>
        <w:gridCol w:w="2744"/>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71"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37"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39"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w:t>
            </w:r>
          </w:p>
        </w:tc>
        <w:tc>
          <w:tcPr>
            <w:tcW w:w="240"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71" w:type="dxa"/>
            <w:tcBorders>
              <w:top w:val="nil"/>
              <w:left w:val="nil"/>
              <w:bottom w:val="nil"/>
              <w:right w:val="nil"/>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eastAsia="zh-CN"/>
              </w:rPr>
              <w:t>怀化市宏宇中学</w:t>
            </w:r>
            <w:r>
              <w:rPr>
                <w:rFonts w:hint="eastAsia" w:ascii="宋体" w:hAnsi="宋体" w:eastAsia="宋体" w:cs="宋体"/>
                <w:kern w:val="0"/>
                <w:sz w:val="24"/>
                <w:szCs w:val="24"/>
              </w:rPr>
              <w:t>　</w:t>
            </w:r>
          </w:p>
        </w:tc>
        <w:tc>
          <w:tcPr>
            <w:tcW w:w="1537" w:type="dxa"/>
            <w:tcBorders>
              <w:top w:val="nil"/>
              <w:left w:val="nil"/>
              <w:bottom w:val="single" w:color="auto" w:sz="4" w:space="0"/>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39" w:type="dxa"/>
            <w:tcBorders>
              <w:top w:val="nil"/>
              <w:left w:val="nil"/>
              <w:bottom w:val="single" w:color="auto" w:sz="4" w:space="0"/>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nil"/>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single" w:color="auto" w:sz="4" w:space="0"/>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nil"/>
            </w:tcBorders>
            <w:shd w:val="clear" w:color="000000" w:fill="FFFFFF"/>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384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53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3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371"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537" w:type="dxa"/>
            <w:tcBorders>
              <w:top w:val="single" w:color="auto" w:sz="4" w:space="0"/>
              <w:left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539" w:type="dxa"/>
            <w:tcBorders>
              <w:top w:val="single" w:color="auto" w:sz="4" w:space="0"/>
              <w:left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tcBorders>
              <w:top w:val="single" w:color="auto" w:sz="4" w:space="0"/>
              <w:left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tcBorders>
              <w:top w:val="single" w:color="auto" w:sz="4" w:space="0"/>
              <w:left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tcBorders>
              <w:top w:val="single" w:color="auto" w:sz="4" w:space="0"/>
              <w:left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tcBorders>
              <w:top w:val="single" w:color="auto" w:sz="4" w:space="0"/>
              <w:left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384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537"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39"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384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i w:val="0"/>
                <w:color w:val="000000"/>
                <w:kern w:val="0"/>
                <w:sz w:val="22"/>
                <w:szCs w:val="22"/>
                <w:u w:val="none"/>
                <w:lang w:val="en-US" w:eastAsia="zh-CN" w:bidi="ar"/>
              </w:rPr>
              <w:t>3,956.78</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i w:val="0"/>
                <w:color w:val="000000"/>
                <w:kern w:val="0"/>
                <w:sz w:val="22"/>
                <w:szCs w:val="22"/>
                <w:u w:val="none"/>
                <w:lang w:val="en-US" w:eastAsia="zh-CN" w:bidi="ar"/>
              </w:rPr>
              <w:t>3,680.88</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i w:val="0"/>
                <w:color w:val="000000"/>
                <w:kern w:val="0"/>
                <w:sz w:val="22"/>
                <w:szCs w:val="22"/>
                <w:u w:val="none"/>
                <w:lang w:val="en-US" w:eastAsia="zh-CN" w:bidi="ar"/>
              </w:rPr>
              <w:t>275.90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201</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一般公共服务支出</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16.00</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16.00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20132</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组织事务</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16.00</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16.00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2013299</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其他组织事务支出</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16.00</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16.00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205</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教育支出</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3,606.14</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3,330.24</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275.90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20502</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普通教育</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3,603.14</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3,330.24</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272.90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2050203</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初中教育</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3,107.17</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2,862.77</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244.39</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2050299</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其他普通教育支出</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495.98</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467.47</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28.51</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20599</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其他教育支出</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3.00</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2059999</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其他教育支出</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3.00</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208</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社会保障和就业支出</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225.42</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225.42</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20805</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行政事业单位养老支出</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225.42</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225.42</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2080505</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218.42</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218.42</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2080599</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其他行政事业单位养老支出</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7.00</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7.00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卫生健康支出</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109.21</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109.21</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行政事业单位医疗</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109.21</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109.21</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2101101</w:t>
            </w:r>
          </w:p>
        </w:tc>
        <w:tc>
          <w:tcPr>
            <w:tcW w:w="237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行政单位医疗</w:t>
            </w:r>
          </w:p>
        </w:tc>
        <w:tc>
          <w:tcPr>
            <w:tcW w:w="153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109.21</w:t>
            </w:r>
          </w:p>
        </w:tc>
        <w:tc>
          <w:tcPr>
            <w:tcW w:w="15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109.21</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tbl>
      <w:tblPr>
        <w:tblStyle w:val="6"/>
        <w:tblW w:w="15521" w:type="dxa"/>
        <w:tblInd w:w="93" w:type="dxa"/>
        <w:tblLayout w:type="fixed"/>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462" w:hRule="atLeast"/>
        </w:trPr>
        <w:tc>
          <w:tcPr>
            <w:tcW w:w="15521" w:type="dxa"/>
            <w:gridSpan w:val="11"/>
            <w:tcBorders>
              <w:top w:val="nil"/>
              <w:left w:val="nil"/>
              <w:bottom w:val="nil"/>
              <w:right w:val="nil"/>
            </w:tcBorders>
            <w:shd w:val="clear" w:color="auto" w:fill="auto"/>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68" w:hRule="atLeast"/>
        </w:trPr>
        <w:tc>
          <w:tcPr>
            <w:tcW w:w="3595"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怀化市宏宇中学</w:t>
            </w:r>
          </w:p>
        </w:tc>
        <w:tc>
          <w:tcPr>
            <w:tcW w:w="436"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3429.61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16.00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16.00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b w:val="0"/>
                <w:bCs w:val="0"/>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b w:val="0"/>
                <w:bCs w:val="0"/>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b w:val="0"/>
                <w:bCs w:val="0"/>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b w:val="0"/>
                <w:bCs w:val="0"/>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3078.98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3078.98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b w:val="0"/>
                <w:bCs w:val="0"/>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b w:val="0"/>
                <w:bCs w:val="0"/>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sz w:val="24"/>
                <w:szCs w:val="24"/>
                <w:u w:val="none"/>
                <w:lang w:eastAsia="zh-CN"/>
              </w:rPr>
              <w:t>七、文化旅游体育与传媒支出</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b w:val="0"/>
                <w:bCs w:val="0"/>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eastAsia="宋体" w:cs="宋体"/>
                <w:kern w:val="0"/>
                <w:sz w:val="22"/>
              </w:rPr>
            </w:pPr>
            <w:r>
              <w:rPr>
                <w:rFonts w:hint="eastAsia" w:ascii="宋体" w:hAnsi="宋体" w:eastAsia="宋体" w:cs="宋体"/>
                <w:i w:val="0"/>
                <w:color w:val="000000"/>
                <w:sz w:val="22"/>
                <w:szCs w:val="22"/>
                <w:u w:val="none"/>
                <w:lang w:eastAsia="zh-CN"/>
              </w:rPr>
              <w:t>八、社会保障支出和就业支出</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225.42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225.42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b w:val="0"/>
                <w:bCs w:val="0"/>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vAlign w:val="center"/>
          </w:tcPr>
          <w:p>
            <w:pPr>
              <w:jc w:val="both"/>
              <w:rPr>
                <w:rFonts w:hint="eastAsia" w:ascii="宋体" w:hAnsi="宋体" w:eastAsia="宋体" w:cs="宋体"/>
                <w:kern w:val="0"/>
                <w:sz w:val="22"/>
              </w:rPr>
            </w:pPr>
            <w:r>
              <w:rPr>
                <w:rFonts w:hint="eastAsia" w:ascii="宋体" w:hAnsi="宋体" w:eastAsia="宋体" w:cs="宋体"/>
                <w:i w:val="0"/>
                <w:color w:val="000000"/>
                <w:sz w:val="22"/>
                <w:szCs w:val="22"/>
                <w:u w:val="none"/>
                <w:lang w:eastAsia="zh-CN"/>
              </w:rPr>
              <w:t>九、卫生健康支出</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109.21</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109.21</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rPr>
            </w:pPr>
            <w:r>
              <w:rPr>
                <w:rFonts w:hint="eastAsia" w:ascii="宋体" w:hAnsi="宋体" w:eastAsia="宋体" w:cs="宋体"/>
                <w:b w:val="0"/>
                <w:bCs w:val="0"/>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3429.61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4</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3429.61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3429.61</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lang w:val="en-US" w:eastAsia="zh-CN"/>
              </w:rPr>
            </w:pPr>
            <w:r>
              <w:rPr>
                <w:rFonts w:hint="eastAsia" w:ascii="宋体" w:hAnsi="宋体" w:eastAsia="宋体" w:cs="宋体"/>
                <w:b w:val="0"/>
                <w:bCs w:val="0"/>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5</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6</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7</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3429.61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57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3429.61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3429.61</w:t>
            </w:r>
          </w:p>
        </w:tc>
        <w:tc>
          <w:tcPr>
            <w:tcW w:w="1394"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b/>
                <w:bCs/>
                <w:kern w:val="0"/>
                <w:sz w:val="22"/>
                <w:lang w:val="en-US" w:eastAsia="zh-CN"/>
              </w:rPr>
            </w:pPr>
            <w:r>
              <w:rPr>
                <w:rFonts w:hint="eastAsia" w:ascii="宋体" w:hAnsi="宋体" w:eastAsia="宋体" w:cs="宋体"/>
                <w:b/>
                <w:bCs/>
                <w:kern w:val="0"/>
                <w:sz w:val="22"/>
              </w:rPr>
              <w:t>　</w:t>
            </w:r>
            <w:r>
              <w:rPr>
                <w:rFonts w:hint="eastAsia" w:ascii="宋体" w:hAnsi="宋体" w:eastAsia="宋体" w:cs="宋体"/>
                <w:b w:val="0"/>
                <w:bCs w:val="0"/>
                <w:kern w:val="0"/>
                <w:sz w:val="22"/>
                <w:lang w:val="en-US" w:eastAsia="zh-CN"/>
              </w:rPr>
              <w:t>0.00</w:t>
            </w:r>
          </w:p>
        </w:tc>
        <w:tc>
          <w:tcPr>
            <w:tcW w:w="157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b/>
                <w:bCs/>
                <w:kern w:val="0"/>
                <w:sz w:val="22"/>
                <w:lang w:val="en-US" w:eastAsia="zh-CN"/>
              </w:rPr>
            </w:pPr>
            <w:r>
              <w:rPr>
                <w:rFonts w:hint="eastAsia" w:ascii="宋体" w:hAnsi="宋体" w:eastAsia="宋体" w:cs="宋体"/>
                <w:b w:val="0"/>
                <w:bCs w:val="0"/>
                <w:kern w:val="0"/>
                <w:sz w:val="22"/>
              </w:rPr>
              <w:t>　</w:t>
            </w:r>
            <w:r>
              <w:rPr>
                <w:rFonts w:hint="eastAsia" w:ascii="宋体" w:hAnsi="宋体" w:eastAsia="宋体" w:cs="宋体"/>
                <w:b w:val="0"/>
                <w:bCs w:val="0"/>
                <w:kern w:val="0"/>
                <w:sz w:val="22"/>
                <w:lang w:val="en-US" w:eastAsia="zh-CN"/>
              </w:rPr>
              <w:t>0.00</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ind w:firstLine="4320" w:firstLineChars="1200"/>
        <w:jc w:val="both"/>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spacing w:before="156" w:beforeLines="50"/>
        <w:jc w:val="left"/>
        <w:rPr>
          <w:rFonts w:hint="eastAsia" w:ascii="Times New Roman" w:hAnsi="Times New Roman" w:eastAsia="仿宋_GB2312" w:cs="Times New Roman"/>
          <w:color w:val="000000"/>
          <w:kern w:val="0"/>
          <w:szCs w:val="21"/>
          <w:lang w:val="en-US" w:eastAsia="zh-CN"/>
        </w:rPr>
      </w:pPr>
      <w:r>
        <w:rPr>
          <w:rFonts w:hint="eastAsia" w:ascii="Times New Roman" w:hAnsi="Times New Roman" w:eastAsia="仿宋_GB2312" w:cs="Times New Roman"/>
          <w:color w:val="000000"/>
          <w:kern w:val="0"/>
          <w:szCs w:val="21"/>
          <w:lang w:val="en-US" w:eastAsia="zh-CN"/>
        </w:rPr>
        <w:t xml:space="preserve">       部门： 怀化市宏宇中学                                                                                              单位：万元</w:t>
      </w:r>
    </w:p>
    <w:tbl>
      <w:tblPr>
        <w:tblStyle w:val="6"/>
        <w:tblpPr w:leftFromText="180" w:rightFromText="180" w:vertAnchor="text" w:horzAnchor="page" w:tblpX="1417" w:tblpY="44"/>
        <w:tblOverlap w:val="never"/>
        <w:tblW w:w="14219" w:type="dxa"/>
        <w:tblInd w:w="0" w:type="dxa"/>
        <w:tblLayout w:type="fixed"/>
        <w:tblCellMar>
          <w:top w:w="0" w:type="dxa"/>
          <w:left w:w="108" w:type="dxa"/>
          <w:bottom w:w="0" w:type="dxa"/>
          <w:right w:w="108" w:type="dxa"/>
        </w:tblCellMar>
      </w:tblPr>
      <w:tblGrid>
        <w:gridCol w:w="1436"/>
        <w:gridCol w:w="3291"/>
        <w:gridCol w:w="3000"/>
        <w:gridCol w:w="3492"/>
        <w:gridCol w:w="3000"/>
      </w:tblGrid>
      <w:tr>
        <w:tblPrEx>
          <w:tblCellMar>
            <w:top w:w="0" w:type="dxa"/>
            <w:left w:w="108" w:type="dxa"/>
            <w:bottom w:w="0" w:type="dxa"/>
            <w:right w:w="108" w:type="dxa"/>
          </w:tblCellMar>
        </w:tblPrEx>
        <w:trPr>
          <w:trHeight w:val="405" w:hRule="atLeast"/>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trPr>
        <w:tc>
          <w:tcPr>
            <w:tcW w:w="1436"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29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trPr>
        <w:tc>
          <w:tcPr>
            <w:tcW w:w="1436"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291"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trPr>
        <w:tc>
          <w:tcPr>
            <w:tcW w:w="1436"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291"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i w:val="0"/>
                <w:color w:val="000000"/>
                <w:kern w:val="0"/>
                <w:sz w:val="22"/>
                <w:szCs w:val="22"/>
                <w:u w:val="none"/>
                <w:lang w:val="en-US" w:eastAsia="zh-CN" w:bidi="ar"/>
              </w:rPr>
              <w:t>3,429.61</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i w:val="0"/>
                <w:color w:val="000000"/>
                <w:kern w:val="0"/>
                <w:sz w:val="22"/>
                <w:szCs w:val="22"/>
                <w:u w:val="none"/>
                <w:lang w:val="en-US" w:eastAsia="zh-CN" w:bidi="ar"/>
              </w:rPr>
              <w:t>3,153.71</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i w:val="0"/>
                <w:color w:val="000000"/>
                <w:kern w:val="0"/>
                <w:sz w:val="22"/>
                <w:szCs w:val="22"/>
                <w:u w:val="none"/>
                <w:lang w:val="en-US" w:eastAsia="zh-CN" w:bidi="ar"/>
              </w:rPr>
              <w:t>275.90</w:t>
            </w: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w:t>
            </w:r>
          </w:p>
        </w:tc>
        <w:tc>
          <w:tcPr>
            <w:tcW w:w="32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16.00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16.00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20132</w:t>
            </w:r>
          </w:p>
        </w:tc>
        <w:tc>
          <w:tcPr>
            <w:tcW w:w="32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组织事务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16.00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16.00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2013299</w:t>
            </w:r>
          </w:p>
        </w:tc>
        <w:tc>
          <w:tcPr>
            <w:tcW w:w="32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其他组织事务支出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16.00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16.00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205</w:t>
            </w:r>
          </w:p>
        </w:tc>
        <w:tc>
          <w:tcPr>
            <w:tcW w:w="32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教育支出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3,078.98</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2,803.08</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275.90</w:t>
            </w: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20502</w:t>
            </w:r>
          </w:p>
        </w:tc>
        <w:tc>
          <w:tcPr>
            <w:tcW w:w="32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普通教育</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3,075.98</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2,803.08</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272.90</w:t>
            </w: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2050203</w:t>
            </w:r>
          </w:p>
        </w:tc>
        <w:tc>
          <w:tcPr>
            <w:tcW w:w="3291"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初中教育</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2,580.00</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2,335.61</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244.39</w:t>
            </w: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2050299</w:t>
            </w:r>
          </w:p>
        </w:tc>
        <w:tc>
          <w:tcPr>
            <w:tcW w:w="3291"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其他普通教育支出</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495.98</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467.47</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28.51</w:t>
            </w: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20599</w:t>
            </w:r>
          </w:p>
        </w:tc>
        <w:tc>
          <w:tcPr>
            <w:tcW w:w="3291"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其他教育支出</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3.00</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3.00</w:t>
            </w: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2059999</w:t>
            </w:r>
          </w:p>
        </w:tc>
        <w:tc>
          <w:tcPr>
            <w:tcW w:w="3291"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其他教育支出</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3.00</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3.00</w:t>
            </w:r>
          </w:p>
        </w:tc>
      </w:tr>
      <w:tr>
        <w:tblPrEx>
          <w:tblCellMar>
            <w:top w:w="0" w:type="dxa"/>
            <w:left w:w="108" w:type="dxa"/>
            <w:bottom w:w="0" w:type="dxa"/>
            <w:right w:w="108" w:type="dxa"/>
          </w:tblCellMar>
        </w:tblPrEx>
        <w:trPr>
          <w:trHeight w:val="90" w:hRule="atLeast"/>
        </w:trPr>
        <w:tc>
          <w:tcPr>
            <w:tcW w:w="143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w:t>
            </w:r>
          </w:p>
        </w:tc>
        <w:tc>
          <w:tcPr>
            <w:tcW w:w="3291"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社会保障和就业支出</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225.42</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225.42</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w:t>
            </w:r>
          </w:p>
        </w:tc>
        <w:tc>
          <w:tcPr>
            <w:tcW w:w="3291"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行政事业单位养老支出</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225.42</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225.42</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2080505</w:t>
            </w:r>
          </w:p>
        </w:tc>
        <w:tc>
          <w:tcPr>
            <w:tcW w:w="3291"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218.42</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218.42</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26" w:hRule="atLeast"/>
        </w:trPr>
        <w:tc>
          <w:tcPr>
            <w:tcW w:w="143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2080599</w:t>
            </w:r>
          </w:p>
        </w:tc>
        <w:tc>
          <w:tcPr>
            <w:tcW w:w="3291"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其他行政事业单位养老支出</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7.00</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7.00</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kern w:val="0"/>
                <w:szCs w:val="21"/>
                <w:lang w:val="en-US" w:eastAsia="zh-CN"/>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w:t>
            </w:r>
          </w:p>
        </w:tc>
        <w:tc>
          <w:tcPr>
            <w:tcW w:w="3291"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卫生健康支出</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109.21</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109.21</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Times New Roman"/>
                <w:kern w:val="0"/>
                <w:szCs w:val="21"/>
                <w:lang w:val="en-US" w:eastAsia="zh-CN"/>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w:t>
            </w:r>
          </w:p>
        </w:tc>
        <w:tc>
          <w:tcPr>
            <w:tcW w:w="3291"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行政事业单位医疗</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109.21</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109.21</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2101101</w:t>
            </w:r>
          </w:p>
        </w:tc>
        <w:tc>
          <w:tcPr>
            <w:tcW w:w="3291"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109.21</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109.21</w:t>
            </w:r>
          </w:p>
        </w:tc>
        <w:tc>
          <w:tcPr>
            <w:tcW w:w="3000" w:type="dxa"/>
            <w:tcBorders>
              <w:top w:val="nil"/>
              <w:left w:val="nil"/>
              <w:bottom w:val="single" w:color="auto" w:sz="8" w:space="0"/>
              <w:right w:val="single" w:color="auto" w:sz="8" w:space="0"/>
            </w:tcBorders>
            <w:shd w:val="clear" w:color="auto" w:fill="auto"/>
            <w:vAlign w:val="center"/>
          </w:tcPr>
          <w:p>
            <w:pPr>
              <w:widowControl/>
              <w:ind w:firstLine="840" w:firstLineChars="400"/>
              <w:jc w:val="both"/>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0.00</w:t>
            </w: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3291"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3291"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3291"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trPr>
        <w:tc>
          <w:tcPr>
            <w:tcW w:w="143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3291"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645" w:hRule="atLeast"/>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15958" w:type="dxa"/>
        <w:tblInd w:w="0" w:type="dxa"/>
        <w:tblLayout w:type="fixed"/>
        <w:tblCellMar>
          <w:top w:w="0" w:type="dxa"/>
          <w:left w:w="108" w:type="dxa"/>
          <w:bottom w:w="0" w:type="dxa"/>
          <w:right w:w="108" w:type="dxa"/>
        </w:tblCellMar>
      </w:tblPr>
      <w:tblGrid>
        <w:gridCol w:w="1003"/>
        <w:gridCol w:w="171"/>
        <w:gridCol w:w="69"/>
        <w:gridCol w:w="1402"/>
        <w:gridCol w:w="1475"/>
        <w:gridCol w:w="644"/>
        <w:gridCol w:w="567"/>
        <w:gridCol w:w="1048"/>
        <w:gridCol w:w="504"/>
        <w:gridCol w:w="1936"/>
        <w:gridCol w:w="183"/>
        <w:gridCol w:w="757"/>
        <w:gridCol w:w="1001"/>
        <w:gridCol w:w="361"/>
        <w:gridCol w:w="2119"/>
        <w:gridCol w:w="1726"/>
        <w:gridCol w:w="394"/>
        <w:gridCol w:w="598"/>
      </w:tblGrid>
      <w:tr>
        <w:tblPrEx>
          <w:tblCellMar>
            <w:top w:w="0" w:type="dxa"/>
            <w:left w:w="108" w:type="dxa"/>
            <w:bottom w:w="0" w:type="dxa"/>
            <w:right w:w="108" w:type="dxa"/>
          </w:tblCellMar>
        </w:tblPrEx>
        <w:trPr>
          <w:trHeight w:val="959" w:hRule="atLeast"/>
        </w:trPr>
        <w:tc>
          <w:tcPr>
            <w:tcW w:w="15958" w:type="dxa"/>
            <w:gridSpan w:val="18"/>
            <w:tcBorders>
              <w:top w:val="nil"/>
              <w:left w:val="nil"/>
              <w:bottom w:val="nil"/>
              <w:right w:val="nil"/>
            </w:tcBorders>
            <w:shd w:val="clear" w:color="auto" w:fill="auto"/>
            <w:vAlign w:val="center"/>
          </w:tcPr>
          <w:p>
            <w:pPr>
              <w:widowControl/>
              <w:jc w:val="center"/>
              <w:rPr>
                <w:rFonts w:ascii="华文中宋" w:hAnsi="华文中宋" w:eastAsia="华文中宋" w:cs="宋体"/>
                <w:color w:val="000000"/>
                <w:kern w:val="0"/>
                <w:sz w:val="32"/>
                <w:szCs w:val="32"/>
              </w:rPr>
            </w:pPr>
            <w:bookmarkStart w:id="2" w:name="RANGE!A1:I34"/>
            <w:r>
              <w:rPr>
                <w:rFonts w:hint="eastAsia" w:ascii="华文中宋" w:hAnsi="华文中宋" w:eastAsia="华文中宋" w:cs="宋体"/>
                <w:color w:val="000000"/>
                <w:kern w:val="0"/>
                <w:sz w:val="21"/>
                <w:szCs w:val="21"/>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怀化市宏宇中学</w:t>
            </w:r>
            <w:r>
              <w:rPr>
                <w:rFonts w:hint="eastAsia" w:ascii="Times New Roman" w:hAnsi="Times New Roman" w:eastAsia="仿宋_GB2312" w:cs="Times New Roman"/>
                <w:color w:val="000000"/>
                <w:kern w:val="0"/>
                <w:szCs w:val="21"/>
              </w:rPr>
              <w:t xml:space="preserve">                                                                                                                      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836" w:hRule="atLeast"/>
        </w:trPr>
        <w:tc>
          <w:tcPr>
            <w:tcW w:w="11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94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1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4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0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9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2820.03</w:t>
            </w:r>
            <w:r>
              <w:rPr>
                <w:rFonts w:hint="eastAsia" w:ascii="宋体" w:hAnsi="宋体" w:eastAsia="宋体" w:cs="宋体"/>
                <w:color w:val="000000"/>
                <w:kern w:val="0"/>
                <w:szCs w:val="20"/>
              </w:rPr>
              <w:t>　</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284.79</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921.60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17.48</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26.00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16.95</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642.78</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39.27</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753.80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2.93</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17.22</w:t>
            </w: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17.2</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219.68</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7.11</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22.05</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2.00</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111.62</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50.22</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27.13</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2.26</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28.38</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115.42</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0.29</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9.63</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17.99</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4.83</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48.52</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1.53</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1.66</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0.00</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0.67</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9.63</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174"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94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4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44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4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81.96</w:t>
            </w:r>
          </w:p>
        </w:tc>
        <w:tc>
          <w:tcPr>
            <w:tcW w:w="10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412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21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2829.65</w:t>
            </w:r>
          </w:p>
        </w:tc>
        <w:tc>
          <w:tcPr>
            <w:tcW w:w="9635" w:type="dxa"/>
            <w:gridSpan w:val="9"/>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324.06</w:t>
            </w:r>
          </w:p>
        </w:tc>
      </w:tr>
      <w:tr>
        <w:tblPrEx>
          <w:tblCellMar>
            <w:top w:w="0" w:type="dxa"/>
            <w:left w:w="108" w:type="dxa"/>
            <w:bottom w:w="0" w:type="dxa"/>
            <w:right w:w="108" w:type="dxa"/>
          </w:tblCellMar>
        </w:tblPrEx>
        <w:trPr>
          <w:trHeight w:val="284" w:hRule="exact"/>
        </w:trPr>
        <w:tc>
          <w:tcPr>
            <w:tcW w:w="15958" w:type="dxa"/>
            <w:gridSpan w:val="18"/>
            <w:tcBorders>
              <w:top w:val="nil"/>
              <w:left w:val="nil"/>
              <w:bottom w:val="nil"/>
              <w:right w:val="nil"/>
            </w:tcBorders>
            <w:shd w:val="clear" w:color="auto" w:fill="auto"/>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690" w:hRule="atLeast"/>
        </w:trPr>
        <w:tc>
          <w:tcPr>
            <w:tcW w:w="15360"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345" w:hRule="atLeast"/>
        </w:trPr>
        <w:tc>
          <w:tcPr>
            <w:tcW w:w="1003"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40"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690" w:hRule="atLeast"/>
        </w:trPr>
        <w:tc>
          <w:tcPr>
            <w:tcW w:w="1003"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3"/>
                <w:lang w:val="en-US" w:eastAsia="zh-CN" w:bidi="ar"/>
              </w:rPr>
              <w:t xml:space="preserve">   </w:t>
            </w:r>
            <w:r>
              <w:rPr>
                <w:rStyle w:val="14"/>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609" w:hRule="atLeast"/>
        </w:trPr>
        <w:tc>
          <w:tcPr>
            <w:tcW w:w="124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409" w:hRule="atLeast"/>
        </w:trPr>
        <w:tc>
          <w:tcPr>
            <w:tcW w:w="1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509" w:hRule="atLeast"/>
        </w:trPr>
        <w:tc>
          <w:tcPr>
            <w:tcW w:w="1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98" w:type="dxa"/>
          <w:trHeight w:val="725" w:hRule="atLeast"/>
        </w:trPr>
        <w:tc>
          <w:tcPr>
            <w:tcW w:w="15360"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6"/>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4171"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4171"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5"/>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6"/>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60"/>
        <w:gridCol w:w="1773"/>
        <w:gridCol w:w="749"/>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773"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74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70"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kern w:val="0"/>
                <w:sz w:val="20"/>
                <w:szCs w:val="20"/>
                <w:u w:val="none"/>
                <w:lang w:val="en-US" w:eastAsia="zh-CN" w:bidi="ar"/>
              </w:rPr>
              <w:t>部门：</w:t>
            </w:r>
          </w:p>
        </w:tc>
        <w:tc>
          <w:tcPr>
            <w:tcW w:w="1773"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怀化市宏宇中学</w:t>
            </w:r>
          </w:p>
        </w:tc>
        <w:tc>
          <w:tcPr>
            <w:tcW w:w="74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70"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7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2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1.66</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1.66</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0"/>
        <w:rPr>
          <w:sz w:val="72"/>
          <w:szCs w:val="72"/>
        </w:rPr>
      </w:pPr>
    </w:p>
    <w:p>
      <w:pPr>
        <w:pStyle w:val="10"/>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0"/>
        <w:jc w:val="center"/>
        <w:rPr>
          <w:rFonts w:hint="eastAsia" w:ascii="方正小标宋_GBK" w:hAnsi="方正小标宋_GBK" w:eastAsia="方正小标宋_GBK" w:cs="方正小标宋_GBK"/>
          <w:sz w:val="70"/>
          <w:szCs w:val="70"/>
        </w:rPr>
      </w:pPr>
    </w:p>
    <w:p>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3956.78</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576.94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17.07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人员工资福利的增加。</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3956.78</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3429.61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86.68</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527.17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13.32</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3956.78</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3680.88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93.03</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275.90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6.97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0"/>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3429.61</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405.79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13.42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人员工资福利的增加。</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3429.61</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86.68</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435.78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14.56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人员工资福利的增加。</w:t>
      </w:r>
    </w:p>
    <w:p>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3429.61</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0.47</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3078.98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89.78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lang w:val="en-US" w:eastAsia="zh-CN"/>
        </w:rPr>
        <w:t>225.42万元，占6.57%，卫生健康支出109.21万元，占3.18%。</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1895.67</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3429.61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180.92</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组织事务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其他组织事务支出</w:t>
      </w:r>
      <w:r>
        <w:rPr>
          <w:rFonts w:hint="eastAsia" w:ascii="Times New Roman" w:hAnsi="Times New Roman" w:eastAsia="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该项支出为追加的预算支出项目。</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w:t>
      </w:r>
      <w:r>
        <w:rPr>
          <w:rFonts w:hint="eastAsia" w:ascii="Times New Roman" w:hAnsi="Times New Roman" w:eastAsia="仿宋_GB2312"/>
          <w:sz w:val="32"/>
          <w:szCs w:val="32"/>
          <w:lang w:eastAsia="zh-CN"/>
        </w:rPr>
        <w:t>教育支出（类）普通教育（款）初中教育（项）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1873.04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2580.00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137.74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：发放了</w:t>
      </w:r>
      <w:r>
        <w:rPr>
          <w:rFonts w:hint="eastAsia" w:ascii="Times New Roman" w:hAnsi="Times New Roman" w:eastAsia="仿宋_GB2312"/>
          <w:sz w:val="32"/>
          <w:szCs w:val="32"/>
          <w:lang w:val="en-US" w:eastAsia="zh-CN"/>
        </w:rPr>
        <w:t>2021年绩效考核奖，为追加的预算支出项目。</w:t>
      </w:r>
    </w:p>
    <w:p>
      <w:pPr>
        <w:pStyle w:val="10"/>
        <w:keepNext w:val="0"/>
        <w:keepLines w:val="0"/>
        <w:pageBreakBefore w:val="0"/>
        <w:widowControl w:val="0"/>
        <w:numPr>
          <w:ilvl w:val="0"/>
          <w:numId w:val="3"/>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教育支出（类）普通教育（款）其他普通教育支出（项）</w:t>
      </w:r>
    </w:p>
    <w:p>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90.5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495.98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548.04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：年中收到中央、省级资金，市级追加预算支出项目。</w:t>
      </w:r>
    </w:p>
    <w:p>
      <w:pPr>
        <w:pStyle w:val="10"/>
        <w:keepNext w:val="0"/>
        <w:keepLines w:val="0"/>
        <w:pageBreakBefore w:val="0"/>
        <w:widowControl w:val="0"/>
        <w:numPr>
          <w:ilvl w:val="0"/>
          <w:numId w:val="3"/>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教育支出（类）普通教育（款）其他教育支出（项）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该项支出为追加的预算支出项目。</w:t>
      </w:r>
    </w:p>
    <w:p>
      <w:pPr>
        <w:pStyle w:val="10"/>
        <w:keepNext w:val="0"/>
        <w:keepLines w:val="0"/>
        <w:pageBreakBefore w:val="0"/>
        <w:widowControl w:val="0"/>
        <w:numPr>
          <w:ilvl w:val="0"/>
          <w:numId w:val="3"/>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社会保障和就业支出（类）行政事业单位养老支出（款）机关事业单位基本养老保险缴费支出（项）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218.42</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该项支出为追加的预算支出项目。</w:t>
      </w:r>
    </w:p>
    <w:p>
      <w:pPr>
        <w:pStyle w:val="10"/>
        <w:keepNext w:val="0"/>
        <w:keepLines w:val="0"/>
        <w:pageBreakBefore w:val="0"/>
        <w:widowControl w:val="0"/>
        <w:numPr>
          <w:ilvl w:val="0"/>
          <w:numId w:val="3"/>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社会保障和就业支出（类）行政事业单位养老支出（款）其他行政事业单位养老支出（项）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该项支出为追加的预算支出项目。</w:t>
      </w:r>
    </w:p>
    <w:p>
      <w:pPr>
        <w:pStyle w:val="10"/>
        <w:keepNext w:val="0"/>
        <w:keepLines w:val="0"/>
        <w:pageBreakBefore w:val="0"/>
        <w:widowControl w:val="0"/>
        <w:numPr>
          <w:ilvl w:val="0"/>
          <w:numId w:val="3"/>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卫生健康支出（类）行政事业单位医疗（款）行政单位医疗（项）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109.21</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该项支出为追加的预算支出项目。</w:t>
      </w:r>
    </w:p>
    <w:p>
      <w:pPr>
        <w:pStyle w:val="10"/>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3153.71</w:t>
      </w:r>
      <w:r>
        <w:rPr>
          <w:rFonts w:hint="eastAsia" w:ascii="Times New Roman" w:hAnsi="Times New Roman" w:eastAsia="仿宋_GB2312"/>
          <w:sz w:val="32"/>
          <w:szCs w:val="32"/>
        </w:rPr>
        <w:t>万元，其中：</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b w:val="0"/>
          <w:bCs w:val="0"/>
          <w:sz w:val="32"/>
          <w:szCs w:val="32"/>
          <w:lang w:val="en-US" w:eastAsia="zh-CN"/>
        </w:rPr>
        <w:t>2829.65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89.72</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、绩效工资、机关事业单位基本养老保险缴费、职工基本医疗保险缴费、其他社会保险缴费、其他工资福利支出、其他对个人和家庭的补助。</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b/>
          <w:bCs/>
          <w:sz w:val="32"/>
          <w:szCs w:val="32"/>
        </w:rPr>
        <w:t>公用经费</w:t>
      </w:r>
      <w:r>
        <w:rPr>
          <w:rFonts w:hint="eastAsia" w:ascii="Times New Roman" w:hAnsi="Times New Roman" w:eastAsia="仿宋_GB2312"/>
          <w:b w:val="0"/>
          <w:bCs w:val="0"/>
          <w:sz w:val="32"/>
          <w:szCs w:val="32"/>
          <w:lang w:val="en-US" w:eastAsia="zh-CN"/>
        </w:rPr>
        <w:t>324.06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10.28</w:t>
      </w:r>
      <w:r>
        <w:rPr>
          <w:rFonts w:hint="eastAsia" w:ascii="Times New Roman" w:hAnsi="Times New Roman" w:eastAsia="仿宋_GB2312"/>
          <w:sz w:val="32"/>
          <w:szCs w:val="32"/>
        </w:rPr>
        <w:t>%，主要包括办公费、印刷费、</w:t>
      </w:r>
      <w:r>
        <w:rPr>
          <w:rFonts w:hint="eastAsia" w:ascii="Times New Roman" w:hAnsi="Times New Roman" w:eastAsia="仿宋_GB2312"/>
          <w:sz w:val="32"/>
          <w:szCs w:val="32"/>
          <w:lang w:eastAsia="zh-CN"/>
        </w:rPr>
        <w:t>水费、电费、邮电费、物业管理费、差旅费、维修（护）费、培训费、劳务费、工会经费、福利费、公务用车运行维护费、其他交通费用、其他商品和服务支出、办公设备购置、专用设备购置。</w:t>
      </w:r>
    </w:p>
    <w:p>
      <w:pPr>
        <w:pStyle w:val="10"/>
        <w:keepNext w:val="0"/>
        <w:keepLines w:val="0"/>
        <w:pageBreakBefore w:val="0"/>
        <w:widowControl w:val="0"/>
        <w:numPr>
          <w:ilvl w:val="0"/>
          <w:numId w:val="4"/>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pPr>
        <w:pStyle w:val="10"/>
        <w:keepNext w:val="0"/>
        <w:keepLines w:val="0"/>
        <w:pageBreakBefore w:val="0"/>
        <w:widowControl w:val="0"/>
        <w:numPr>
          <w:ilvl w:val="0"/>
          <w:numId w:val="0"/>
        </w:numPr>
        <w:kinsoku/>
        <w:wordWrap/>
        <w:overflowPunct/>
        <w:topLinePunct w:val="0"/>
        <w:bidi w:val="0"/>
        <w:snapToGrid/>
        <w:spacing w:line="600" w:lineRule="exact"/>
        <w:ind w:firstLine="320" w:firstLineChars="1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27.67</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因公出国（境）费支出预算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41.5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贯彻落实中央关于厉行节约的要求</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严控“三公经费”。</w:t>
      </w:r>
      <w:r>
        <w:rPr>
          <w:rFonts w:hint="eastAsia" w:ascii="Times New Roman" w:hAnsi="Times New Roman" w:eastAsia="仿宋_GB2312"/>
          <w:sz w:val="32"/>
          <w:szCs w:val="32"/>
        </w:rPr>
        <w:t>与上年相增加</w:t>
      </w:r>
      <w:r>
        <w:rPr>
          <w:rFonts w:hint="eastAsia" w:ascii="Times New Roman" w:hAnsi="Times New Roman" w:eastAsia="仿宋_GB2312"/>
          <w:sz w:val="32"/>
          <w:szCs w:val="32"/>
          <w:lang w:val="en-US" w:eastAsia="zh-CN"/>
        </w:rPr>
        <w:t>0.07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4.4</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公务用车的车程增加，造成油耗的增加</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1.66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2、公务接待费支出决算</w:t>
      </w:r>
      <w:r>
        <w:rPr>
          <w:rFonts w:hint="eastAsia" w:ascii="Times New Roman" w:hAnsi="Times New Roman" w:eastAsia="仿宋_GB2312"/>
          <w:sz w:val="32"/>
          <w:szCs w:val="32"/>
          <w:lang w:eastAsia="zh-CN"/>
        </w:rPr>
        <w:t>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1.66</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1.66</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油料费、保险费、维修费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0"/>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w:t>
      </w:r>
      <w:r>
        <w:rPr>
          <w:rFonts w:hint="eastAsia" w:ascii="Times New Roman" w:hAnsi="Times New Roman" w:eastAsia="仿宋_GB2312"/>
          <w:sz w:val="32"/>
          <w:szCs w:val="32"/>
          <w:lang w:eastAsia="zh-CN"/>
        </w:rPr>
        <w:t>本单位无</w:t>
      </w:r>
      <w:r>
        <w:rPr>
          <w:rFonts w:hint="eastAsia" w:ascii="Times New Roman" w:hAnsi="Times New Roman" w:eastAsia="仿宋_GB2312"/>
          <w:sz w:val="32"/>
          <w:szCs w:val="32"/>
        </w:rPr>
        <w:t>政府性基金</w:t>
      </w:r>
      <w:r>
        <w:rPr>
          <w:rFonts w:hint="eastAsia" w:ascii="Times New Roman" w:hAnsi="Times New Roman" w:eastAsia="仿宋_GB2312"/>
          <w:sz w:val="32"/>
          <w:szCs w:val="32"/>
          <w:lang w:eastAsia="zh-CN"/>
        </w:rPr>
        <w:t>收支。</w:t>
      </w:r>
    </w:p>
    <w:p>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sz w:val="32"/>
          <w:szCs w:val="32"/>
        </w:rPr>
        <w:t>九、</w:t>
      </w:r>
      <w:r>
        <w:rPr>
          <w:rFonts w:hint="eastAsia" w:ascii="Times New Roman" w:hAnsi="Times New Roman" w:eastAsia="仿宋_GB2312"/>
          <w:b/>
          <w:bCs/>
          <w:sz w:val="32"/>
          <w:szCs w:val="32"/>
          <w:lang w:val="en-US" w:eastAsia="zh-CN"/>
        </w:rPr>
        <w:t>国有资本经营预算收入支出决算情况</w:t>
      </w:r>
    </w:p>
    <w:p>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default" w:ascii="Times New Roman" w:hAnsi="Times New Roman" w:eastAsia="仿宋_GB2312"/>
          <w:b/>
          <w:sz w:val="32"/>
          <w:szCs w:val="32"/>
          <w:lang w:val="en-US"/>
        </w:rPr>
      </w:pPr>
      <w:r>
        <w:rPr>
          <w:rFonts w:hint="eastAsia" w:ascii="Times New Roman" w:hAnsi="Times New Roman" w:eastAsia="仿宋_GB2312"/>
          <w:sz w:val="32"/>
          <w:szCs w:val="32"/>
          <w:lang w:val="en-US" w:eastAsia="zh-CN"/>
        </w:rPr>
        <w:t>2022年度本单位无国有资本经营预算财政拨款支出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lang w:val="en-US" w:eastAsia="zh-CN"/>
        </w:rPr>
        <w:t>十、</w:t>
      </w:r>
      <w:r>
        <w:rPr>
          <w:rFonts w:hint="eastAsia" w:ascii="Times New Roman" w:hAnsi="Times New Roman" w:eastAsia="仿宋_GB2312"/>
          <w:b/>
          <w:sz w:val="32"/>
          <w:szCs w:val="32"/>
        </w:rPr>
        <w:t>关于机关运行经费支出说明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，因我单位为财政补助事业单位，不属于行政单位和参照公务员法管理事业单位，故无机关运行经费支出。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17.99</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教师</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205</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初中英语工作坊线下培训、信息技术能力提升</w:t>
      </w:r>
      <w:r>
        <w:rPr>
          <w:rFonts w:hint="eastAsia" w:ascii="Times New Roman" w:hAnsi="Times New Roman" w:eastAsia="仿宋_GB2312"/>
          <w:sz w:val="32"/>
          <w:szCs w:val="32"/>
          <w:lang w:val="en-US" w:eastAsia="zh-CN"/>
        </w:rPr>
        <w:t>2.0培训、明德云学堂线上培训、初中物理工作坊线下培训、网络研修培训费等。</w:t>
      </w:r>
      <w:r>
        <w:rPr>
          <w:rFonts w:hint="eastAsia" w:ascii="Times New Roman" w:hAnsi="Times New Roman" w:eastAsia="仿宋_GB2312"/>
          <w:sz w:val="32"/>
          <w:szCs w:val="32"/>
          <w:lang w:eastAsia="zh-CN"/>
        </w:rPr>
        <w:t>明德云学堂线上培训课时为</w:t>
      </w:r>
      <w:r>
        <w:rPr>
          <w:rFonts w:hint="eastAsia" w:ascii="Times New Roman" w:hAnsi="Times New Roman" w:eastAsia="仿宋_GB2312"/>
          <w:sz w:val="32"/>
          <w:szCs w:val="32"/>
          <w:lang w:val="en-US" w:eastAsia="zh-CN"/>
        </w:rPr>
        <w:t>100课时，50个主题培训，由50名专家授课，经费预算为4.98万元；信息技术能力提升2.0培训面向怀化市区教师80人，由4名专家授课，培训时间3天，经费预算3.76万元；初中英语工作坊线下培训教师50人，培训时间3天，由2名专家授课，经费预算3.48万。初中英语工作坊线下培训教师50人，培训时间3天，由2名专家授课，经费预算3.48万。网络研修培训人数50人，网络课程为60学时，培训内容为初中物理、初中英语，经费预算1.8万元。</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举办学生活动开支21.48万元，主要是2022届学生毕业典礼活动、校外实践活动、学生体育竞赛活动等。2022届学生毕业典礼活动经费预算0.64万元，用于会场布置。校外实践活动内容是军训，经费预算14.52万元。学生体育竞赛活动内容是各项体育活动比赛，经费预算6.20万元。</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173.93</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173.93</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173.93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173.93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三</w:t>
      </w:r>
      <w:r>
        <w:rPr>
          <w:rFonts w:hint="eastAsia" w:ascii="黑体" w:hAnsi="黑体" w:eastAsia="黑体" w:cs="黑体"/>
          <w:b w:val="0"/>
          <w:bCs/>
          <w:sz w:val="32"/>
          <w:szCs w:val="32"/>
        </w:rPr>
        <w:t>、关于国有资产占用情况说明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eastAsia="zh-CN"/>
        </w:rPr>
        <w:t>调拨的一般公务用车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shd w:val="clear" w:color="auto" w:fill="FFFFFF"/>
        </w:rPr>
        <w:t>根据预算绩效管理要求，我单位组织开展2021年度整体支出绩效评价，涉及整体支出金额</w:t>
      </w:r>
      <w:r>
        <w:rPr>
          <w:rFonts w:hint="eastAsia" w:ascii="仿宋" w:hAnsi="仿宋" w:eastAsia="仿宋" w:cs="仿宋"/>
          <w:i w:val="0"/>
          <w:iCs w:val="0"/>
          <w:caps w:val="0"/>
          <w:color w:val="000000"/>
          <w:spacing w:val="0"/>
          <w:sz w:val="32"/>
          <w:szCs w:val="32"/>
          <w:shd w:val="clear" w:color="auto" w:fill="FFFFFF"/>
          <w:lang w:val="en-US" w:eastAsia="zh-CN"/>
        </w:rPr>
        <w:t>3956.78</w:t>
      </w:r>
      <w:r>
        <w:rPr>
          <w:rFonts w:hint="eastAsia" w:ascii="仿宋" w:hAnsi="仿宋" w:eastAsia="仿宋" w:cs="仿宋"/>
          <w:i w:val="0"/>
          <w:iCs w:val="0"/>
          <w:caps w:val="0"/>
          <w:color w:val="000000"/>
          <w:spacing w:val="0"/>
          <w:sz w:val="32"/>
          <w:szCs w:val="32"/>
          <w:shd w:val="clear" w:color="auto" w:fill="FFFFFF"/>
        </w:rPr>
        <w:t>万元，其中：一般公共预算支出</w:t>
      </w:r>
      <w:r>
        <w:rPr>
          <w:rFonts w:hint="eastAsia" w:ascii="仿宋" w:hAnsi="仿宋" w:eastAsia="仿宋" w:cs="仿宋"/>
          <w:i w:val="0"/>
          <w:iCs w:val="0"/>
          <w:caps w:val="0"/>
          <w:color w:val="000000"/>
          <w:spacing w:val="0"/>
          <w:sz w:val="32"/>
          <w:szCs w:val="32"/>
          <w:shd w:val="clear" w:color="auto" w:fill="FFFFFF"/>
          <w:lang w:val="en-US" w:eastAsia="zh-CN"/>
        </w:rPr>
        <w:t>3429.61</w:t>
      </w:r>
      <w:r>
        <w:rPr>
          <w:rFonts w:hint="eastAsia" w:ascii="仿宋" w:hAnsi="仿宋" w:eastAsia="仿宋" w:cs="仿宋"/>
          <w:i w:val="0"/>
          <w:iCs w:val="0"/>
          <w:caps w:val="0"/>
          <w:color w:val="000000"/>
          <w:spacing w:val="0"/>
          <w:sz w:val="32"/>
          <w:szCs w:val="32"/>
          <w:shd w:val="clear" w:color="auto" w:fill="FFFFFF"/>
        </w:rPr>
        <w:t>万元，政府性基金预算支出</w:t>
      </w:r>
      <w:r>
        <w:rPr>
          <w:rFonts w:hint="eastAsia" w:ascii="仿宋" w:hAnsi="仿宋" w:eastAsia="仿宋" w:cs="仿宋"/>
          <w:i w:val="0"/>
          <w:iCs w:val="0"/>
          <w:caps w:val="0"/>
          <w:color w:val="000000"/>
          <w:spacing w:val="0"/>
          <w:sz w:val="32"/>
          <w:szCs w:val="32"/>
          <w:shd w:val="clear" w:color="auto" w:fill="FFFFFF"/>
          <w:lang w:val="en-US" w:eastAsia="zh-CN"/>
        </w:rPr>
        <w:t>0</w:t>
      </w:r>
      <w:r>
        <w:rPr>
          <w:rFonts w:hint="eastAsia" w:ascii="仿宋" w:hAnsi="仿宋" w:eastAsia="仿宋" w:cs="仿宋"/>
          <w:i w:val="0"/>
          <w:iCs w:val="0"/>
          <w:caps w:val="0"/>
          <w:color w:val="000000"/>
          <w:spacing w:val="0"/>
          <w:sz w:val="32"/>
          <w:szCs w:val="32"/>
          <w:shd w:val="clear" w:color="auto" w:fill="FFFFFF"/>
        </w:rPr>
        <w:t>万元，事业支出</w:t>
      </w:r>
      <w:r>
        <w:rPr>
          <w:rFonts w:hint="eastAsia" w:ascii="仿宋" w:hAnsi="仿宋" w:eastAsia="仿宋" w:cs="仿宋"/>
          <w:i w:val="0"/>
          <w:iCs w:val="0"/>
          <w:caps w:val="0"/>
          <w:color w:val="000000"/>
          <w:spacing w:val="0"/>
          <w:sz w:val="32"/>
          <w:szCs w:val="32"/>
          <w:shd w:val="clear" w:color="auto" w:fill="FFFFFF"/>
          <w:lang w:val="en-US" w:eastAsia="zh-CN"/>
        </w:rPr>
        <w:t>527.17</w:t>
      </w:r>
      <w:r>
        <w:rPr>
          <w:rFonts w:hint="eastAsia" w:ascii="仿宋" w:hAnsi="仿宋" w:eastAsia="仿宋" w:cs="仿宋"/>
          <w:i w:val="0"/>
          <w:iCs w:val="0"/>
          <w:caps w:val="0"/>
          <w:color w:val="000000"/>
          <w:spacing w:val="0"/>
          <w:sz w:val="32"/>
          <w:szCs w:val="32"/>
          <w:shd w:val="clear" w:color="auto" w:fill="FFFFFF"/>
        </w:rPr>
        <w:t>万元。按照财政部门要求开展了整体支出绩效自评，形成的整体支出绩效自评报告见附件。从评价情况来看，通过全年工作的开展，各项目标任务都有效完成，学校的教学业务活动和基础设施的条件都有了新的进步和改善，社会效益有了明显的提升，学生家长及教职工的满意度得到了提高。</w:t>
      </w:r>
    </w:p>
    <w:p>
      <w:pPr>
        <w:pStyle w:val="10"/>
        <w:keepNext w:val="0"/>
        <w:keepLines w:val="0"/>
        <w:pageBreakBefore w:val="0"/>
        <w:widowControl w:val="0"/>
        <w:numPr>
          <w:ilvl w:val="0"/>
          <w:numId w:val="2"/>
        </w:numPr>
        <w:kinsoku/>
        <w:wordWrap/>
        <w:overflowPunct/>
        <w:topLinePunct w:val="0"/>
        <w:bidi w:val="0"/>
        <w:snapToGrid/>
        <w:spacing w:line="600" w:lineRule="exact"/>
        <w:ind w:left="0" w:leftChars="0"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存在的问题及原因分析</w:t>
      </w:r>
    </w:p>
    <w:p>
      <w:pPr>
        <w:pStyle w:val="10"/>
        <w:keepNext w:val="0"/>
        <w:keepLines w:val="0"/>
        <w:pageBreakBefore w:val="0"/>
        <w:widowControl w:val="0"/>
        <w:numPr>
          <w:ilvl w:val="0"/>
          <w:numId w:val="0"/>
        </w:numPr>
        <w:kinsoku/>
        <w:wordWrap/>
        <w:overflowPunct/>
        <w:topLinePunct w:val="0"/>
        <w:bidi w:val="0"/>
        <w:snapToGrid/>
        <w:spacing w:line="600" w:lineRule="exact"/>
        <w:ind w:leftChars="200" w:firstLine="640" w:firstLineChars="200"/>
        <w:jc w:val="left"/>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没有组织教学、行政等科室全方位参与预算和预算绩效管理工作，原因是没有考虑将各部门人员纳入预算管理的实施过程中。资金使用有延迟性，预算支出执行力有待加强。预算支出延迟性因资金下达的时间有所推迟，单位资金使用缺乏计划性，从而资金使用效率低。</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both"/>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firstLineChars="200"/>
        <w:jc w:val="left"/>
        <w:rPr>
          <w:rFonts w:hint="eastAsia" w:ascii="黑体" w:hAnsi="宋体" w:eastAsia="黑体" w:cs="黑体"/>
          <w:color w:val="000000"/>
          <w:sz w:val="24"/>
          <w:szCs w:val="24"/>
        </w:rPr>
      </w:pPr>
      <w:r>
        <w:rPr>
          <w:rFonts w:hint="eastAsia" w:cs="黑体" w:asciiTheme="minorEastAsia" w:hAnsiTheme="minorEastAsia"/>
          <w:color w:val="000000"/>
          <w:kern w:val="0"/>
          <w:sz w:val="32"/>
          <w:szCs w:val="32"/>
        </w:rPr>
        <w:t>一</w:t>
      </w:r>
      <w:r>
        <w:rPr>
          <w:rFonts w:hint="eastAsia" w:cs="黑体" w:asciiTheme="minorEastAsia" w:hAnsiTheme="minorEastAsia"/>
          <w:color w:val="000000"/>
          <w:kern w:val="0"/>
          <w:sz w:val="32"/>
          <w:szCs w:val="32"/>
          <w:lang w:eastAsia="zh-CN"/>
        </w:rPr>
        <w:t>、</w:t>
      </w:r>
      <w:r>
        <w:rPr>
          <w:rFonts w:hint="eastAsia" w:ascii="宋体" w:hAnsi="宋体" w:eastAsia="宋体" w:cs="宋体"/>
          <w:b/>
          <w:bCs/>
          <w:i w:val="0"/>
          <w:iCs w:val="0"/>
          <w:caps w:val="0"/>
          <w:color w:val="000000"/>
          <w:spacing w:val="0"/>
          <w:sz w:val="32"/>
          <w:szCs w:val="32"/>
          <w:shd w:val="clear" w:color="auto" w:fill="FFFFFF"/>
        </w:rPr>
        <w:t>机关运行经费：</w:t>
      </w:r>
      <w:r>
        <w:rPr>
          <w:rFonts w:hint="eastAsia" w:ascii="宋体" w:hAnsi="宋体" w:eastAsia="宋体" w:cs="宋体"/>
          <w:i w:val="0"/>
          <w:iCs w:val="0"/>
          <w:caps w:val="0"/>
          <w:color w:val="000000"/>
          <w:spacing w:val="0"/>
          <w:sz w:val="32"/>
          <w:szCs w:val="32"/>
          <w:shd w:val="clear" w:color="auto" w:fill="FFFFFF"/>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0" w:firstLineChars="200"/>
        <w:rPr>
          <w:rFonts w:hint="eastAsia" w:ascii="黑体" w:hAnsi="宋体" w:eastAsia="黑体" w:cs="黑体"/>
          <w:color w:val="000000"/>
          <w:sz w:val="24"/>
          <w:szCs w:val="24"/>
        </w:rPr>
      </w:pPr>
      <w:r>
        <w:rPr>
          <w:rFonts w:hint="eastAsia" w:cs="黑体" w:asciiTheme="minorEastAsia" w:hAnsiTheme="minorEastAsia"/>
          <w:color w:val="000000"/>
          <w:kern w:val="0"/>
          <w:sz w:val="32"/>
          <w:szCs w:val="32"/>
        </w:rPr>
        <w:t>二、</w:t>
      </w:r>
      <w:r>
        <w:rPr>
          <w:rFonts w:hint="eastAsia" w:ascii="宋体" w:hAnsi="宋体" w:eastAsia="宋体" w:cs="宋体"/>
          <w:b/>
          <w:bCs/>
          <w:i w:val="0"/>
          <w:iCs w:val="0"/>
          <w:caps w:val="0"/>
          <w:color w:val="000000"/>
          <w:spacing w:val="0"/>
          <w:sz w:val="32"/>
          <w:szCs w:val="32"/>
          <w:shd w:val="clear" w:color="auto" w:fill="FFFFFF"/>
        </w:rPr>
        <w:t>“三公”经费</w:t>
      </w:r>
      <w:r>
        <w:rPr>
          <w:rFonts w:hint="eastAsia" w:ascii="宋体" w:hAnsi="宋体" w:eastAsia="宋体" w:cs="宋体"/>
          <w:i w:val="0"/>
          <w:iCs w:val="0"/>
          <w:caps w:val="0"/>
          <w:color w:val="000000"/>
          <w:spacing w:val="0"/>
          <w:sz w:val="32"/>
          <w:szCs w:val="32"/>
          <w:shd w:val="clear" w:color="auto" w:fill="FFFFFF"/>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ind w:firstLine="3960" w:firstLineChars="900"/>
        <w:jc w:val="left"/>
        <w:rPr>
          <w:rFonts w:hint="eastAsia" w:cs="黑体" w:asciiTheme="minorEastAsia" w:hAnsiTheme="minorEastAsia"/>
          <w:color w:val="000000"/>
          <w:kern w:val="0"/>
          <w:sz w:val="32"/>
          <w:szCs w:val="32"/>
          <w:lang w:val="en-US" w:eastAsia="zh-CN"/>
        </w:rPr>
      </w:pPr>
      <w:r>
        <w:rPr>
          <w:rFonts w:hint="eastAsia" w:ascii="黑体" w:hAnsi="黑体" w:eastAsia="黑体" w:cs="黑体"/>
          <w:b/>
          <w:bCs/>
          <w:color w:val="000000"/>
          <w:kern w:val="0"/>
          <w:sz w:val="44"/>
          <w:szCs w:val="44"/>
          <w:lang w:val="en-US" w:eastAsia="zh-CN"/>
        </w:rPr>
        <w:t>第五部分附件</w:t>
      </w:r>
    </w:p>
    <w:p>
      <w:pPr>
        <w:ind w:firstLine="2880" w:firstLineChars="90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2022年度部门整体支出绩效评价报告</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一、部门概况</w:t>
      </w:r>
    </w:p>
    <w:p>
      <w:pPr>
        <w:widowControl/>
        <w:shd w:val="clear" w:color="auto" w:fill="FFFFFF"/>
        <w:spacing w:line="600" w:lineRule="atLeast"/>
        <w:ind w:firstLine="640"/>
        <w:rPr>
          <w:rFonts w:ascii="仿宋" w:hAnsi="仿宋" w:eastAsia="仿宋"/>
          <w:spacing w:val="-2"/>
          <w:sz w:val="32"/>
          <w:szCs w:val="32"/>
        </w:rPr>
      </w:pPr>
      <w:r>
        <w:rPr>
          <w:rFonts w:ascii="仿宋" w:hAnsi="仿宋" w:eastAsia="仿宋"/>
          <w:spacing w:val="-2"/>
          <w:sz w:val="32"/>
          <w:szCs w:val="32"/>
        </w:rPr>
        <w:t>（一）部门基本情况</w:t>
      </w:r>
    </w:p>
    <w:p>
      <w:pPr>
        <w:spacing w:line="660" w:lineRule="exact"/>
        <w:ind w:firstLine="640"/>
        <w:rPr>
          <w:rFonts w:hint="eastAsia" w:ascii="仿宋" w:hAnsi="仿宋" w:eastAsia="仿宋"/>
          <w:sz w:val="32"/>
          <w:szCs w:val="32"/>
          <w:lang w:val="en-US" w:eastAsia="zh-CN"/>
        </w:rPr>
      </w:pPr>
      <w:r>
        <w:rPr>
          <w:rFonts w:hint="eastAsia" w:ascii="仿宋" w:hAnsi="仿宋" w:eastAsia="仿宋"/>
          <w:sz w:val="32"/>
          <w:szCs w:val="32"/>
        </w:rPr>
        <w:t>怀化市</w:t>
      </w:r>
      <w:r>
        <w:rPr>
          <w:rFonts w:hint="eastAsia" w:ascii="仿宋" w:hAnsi="仿宋" w:eastAsia="仿宋"/>
          <w:sz w:val="32"/>
          <w:szCs w:val="32"/>
          <w:lang w:val="en-US" w:eastAsia="zh-CN"/>
        </w:rPr>
        <w:t>宏宇中学</w:t>
      </w:r>
      <w:r>
        <w:rPr>
          <w:rFonts w:hint="eastAsia" w:ascii="仿宋" w:hAnsi="仿宋" w:eastAsia="仿宋"/>
          <w:sz w:val="32"/>
          <w:szCs w:val="32"/>
        </w:rPr>
        <w:t>是</w:t>
      </w:r>
      <w:r>
        <w:rPr>
          <w:rFonts w:hint="eastAsia" w:ascii="仿宋" w:hAnsi="仿宋" w:eastAsia="仿宋"/>
          <w:sz w:val="32"/>
          <w:szCs w:val="32"/>
          <w:lang w:val="en-US" w:eastAsia="zh-CN"/>
        </w:rPr>
        <w:t>怀化</w:t>
      </w:r>
      <w:r>
        <w:rPr>
          <w:rFonts w:hint="eastAsia" w:ascii="仿宋" w:hAnsi="仿宋" w:eastAsia="仿宋"/>
          <w:sz w:val="32"/>
          <w:szCs w:val="32"/>
        </w:rPr>
        <w:t>市人民政府领导下的正</w:t>
      </w:r>
      <w:r>
        <w:rPr>
          <w:rFonts w:hint="eastAsia" w:ascii="仿宋" w:hAnsi="仿宋" w:eastAsia="仿宋"/>
          <w:sz w:val="32"/>
          <w:szCs w:val="32"/>
          <w:lang w:val="en-US" w:eastAsia="zh-CN"/>
        </w:rPr>
        <w:t>科</w:t>
      </w:r>
      <w:r>
        <w:rPr>
          <w:rFonts w:hint="eastAsia" w:ascii="仿宋" w:hAnsi="仿宋" w:eastAsia="仿宋"/>
          <w:sz w:val="32"/>
          <w:szCs w:val="32"/>
        </w:rPr>
        <w:t>级</w:t>
      </w:r>
      <w:r>
        <w:rPr>
          <w:rFonts w:hint="eastAsia" w:ascii="仿宋" w:hAnsi="仿宋" w:eastAsia="仿宋"/>
          <w:sz w:val="32"/>
          <w:szCs w:val="32"/>
          <w:lang w:val="en-US" w:eastAsia="zh-CN"/>
        </w:rPr>
        <w:t>全额</w:t>
      </w:r>
      <w:r>
        <w:rPr>
          <w:rFonts w:hint="eastAsia" w:ascii="仿宋" w:hAnsi="仿宋" w:eastAsia="仿宋"/>
          <w:sz w:val="32"/>
          <w:szCs w:val="32"/>
        </w:rPr>
        <w:t>拨款</w:t>
      </w:r>
      <w:r>
        <w:rPr>
          <w:rFonts w:hint="eastAsia" w:ascii="仿宋" w:hAnsi="仿宋" w:eastAsia="仿宋"/>
          <w:sz w:val="32"/>
          <w:szCs w:val="32"/>
          <w:lang w:val="en-US" w:eastAsia="zh-CN"/>
        </w:rPr>
        <w:t>教育</w:t>
      </w:r>
      <w:r>
        <w:rPr>
          <w:rFonts w:hint="eastAsia" w:ascii="仿宋" w:hAnsi="仿宋" w:eastAsia="仿宋"/>
          <w:sz w:val="32"/>
          <w:szCs w:val="32"/>
        </w:rPr>
        <w:t>单位,</w:t>
      </w:r>
      <w:r>
        <w:rPr>
          <w:rFonts w:hint="eastAsia" w:ascii="仿宋" w:hAnsi="仿宋" w:eastAsia="仿宋"/>
          <w:sz w:val="32"/>
          <w:szCs w:val="32"/>
          <w:lang w:val="en-US" w:eastAsia="zh-CN"/>
        </w:rPr>
        <w:t>为</w:t>
      </w:r>
      <w:r>
        <w:rPr>
          <w:rFonts w:hint="eastAsia" w:ascii="仿宋" w:hAnsi="仿宋" w:eastAsia="仿宋" w:cs="仿宋_GB2312"/>
          <w:color w:val="000000"/>
          <w:sz w:val="32"/>
          <w:szCs w:val="32"/>
          <w:lang w:val="en-US" w:eastAsia="zh-CN"/>
        </w:rPr>
        <w:t>怀化市</w:t>
      </w:r>
      <w:r>
        <w:rPr>
          <w:rFonts w:hint="eastAsia" w:ascii="仿宋" w:hAnsi="仿宋" w:eastAsia="仿宋" w:cs="仿宋_GB2312"/>
          <w:color w:val="000000"/>
          <w:sz w:val="32"/>
          <w:szCs w:val="32"/>
        </w:rPr>
        <w:t>一级部门预算单位，</w:t>
      </w:r>
      <w:r>
        <w:rPr>
          <w:rFonts w:hint="eastAsia" w:ascii="仿宋" w:hAnsi="仿宋" w:eastAsia="仿宋"/>
          <w:sz w:val="32"/>
          <w:szCs w:val="32"/>
        </w:rPr>
        <w:t>业务工作归口怀化市</w:t>
      </w:r>
      <w:r>
        <w:rPr>
          <w:rFonts w:hint="eastAsia" w:ascii="仿宋" w:hAnsi="仿宋" w:eastAsia="仿宋"/>
          <w:sz w:val="32"/>
          <w:szCs w:val="32"/>
          <w:lang w:val="en-US" w:eastAsia="zh-CN"/>
        </w:rPr>
        <w:t>教育局</w:t>
      </w:r>
      <w:r>
        <w:rPr>
          <w:rFonts w:hint="eastAsia" w:ascii="仿宋" w:hAnsi="仿宋" w:eastAsia="仿宋"/>
          <w:sz w:val="32"/>
          <w:szCs w:val="32"/>
        </w:rPr>
        <w:t>主管</w:t>
      </w:r>
      <w:r>
        <w:rPr>
          <w:rFonts w:hint="eastAsia" w:ascii="仿宋" w:hAnsi="仿宋" w:eastAsia="仿宋"/>
          <w:sz w:val="32"/>
          <w:szCs w:val="32"/>
          <w:lang w:eastAsia="zh-CN"/>
        </w:rPr>
        <w:t>。</w:t>
      </w:r>
      <w:r>
        <w:rPr>
          <w:rFonts w:hint="eastAsia" w:ascii="仿宋" w:hAnsi="仿宋" w:eastAsia="仿宋"/>
          <w:sz w:val="32"/>
          <w:szCs w:val="32"/>
        </w:rPr>
        <w:t>负责</w:t>
      </w:r>
      <w:r>
        <w:rPr>
          <w:rFonts w:hint="eastAsia" w:ascii="仿宋" w:hAnsi="仿宋" w:eastAsia="仿宋"/>
          <w:sz w:val="32"/>
          <w:szCs w:val="32"/>
          <w:lang w:val="en-US" w:eastAsia="zh-CN"/>
        </w:rPr>
        <w:t>贯彻国家的教育方针，按照义务教育初中阶段的人才培养要求，组织实施教育教学活动，开展教研教学改革实验，在保证教育质量的前提下，全面推进综合素质教育，创设和谐的校园环境。</w:t>
      </w:r>
    </w:p>
    <w:p>
      <w:pPr>
        <w:spacing w:line="660" w:lineRule="exact"/>
        <w:ind w:firstLine="640"/>
        <w:rPr>
          <w:rFonts w:hint="eastAsia" w:ascii="仿宋" w:hAnsi="仿宋" w:eastAsia="仿宋"/>
          <w:sz w:val="32"/>
          <w:szCs w:val="32"/>
          <w:lang w:val="en-US" w:eastAsia="zh-CN"/>
        </w:rPr>
      </w:pPr>
      <w:r>
        <w:rPr>
          <w:rFonts w:hint="eastAsia" w:ascii="仿宋" w:hAnsi="仿宋" w:eastAsia="仿宋"/>
          <w:sz w:val="32"/>
          <w:szCs w:val="32"/>
          <w:lang w:val="en-US" w:eastAsia="zh-CN"/>
        </w:rPr>
        <w:t>学校</w:t>
      </w:r>
      <w:r>
        <w:rPr>
          <w:rFonts w:hint="eastAsia" w:ascii="仿宋" w:hAnsi="仿宋" w:eastAsia="仿宋" w:cs="仿宋_GB2312"/>
          <w:color w:val="000000"/>
          <w:sz w:val="32"/>
          <w:szCs w:val="32"/>
          <w:lang w:val="en-US" w:eastAsia="zh-CN"/>
        </w:rPr>
        <w:t>设置七个部门机构：分别是</w:t>
      </w:r>
      <w:r>
        <w:rPr>
          <w:rFonts w:hint="eastAsia" w:ascii="仿宋" w:hAnsi="仿宋" w:eastAsia="仿宋" w:cs="仿宋_GB2312"/>
          <w:sz w:val="32"/>
          <w:szCs w:val="32"/>
          <w:lang w:val="en-US" w:eastAsia="zh-CN"/>
        </w:rPr>
        <w:t>教务处、德育处、总务处、办公室、教科室、现教室、督导室。</w:t>
      </w:r>
      <w:r>
        <w:rPr>
          <w:rFonts w:hint="eastAsia" w:ascii="仿宋" w:hAnsi="仿宋" w:eastAsia="仿宋" w:cs="仿宋"/>
          <w:i w:val="0"/>
          <w:iCs w:val="0"/>
          <w:caps w:val="0"/>
          <w:color w:val="333333"/>
          <w:spacing w:val="0"/>
          <w:sz w:val="32"/>
          <w:szCs w:val="32"/>
          <w:shd w:val="clear" w:color="auto" w:fill="FFFFFF"/>
        </w:rPr>
        <w:t>本单位</w:t>
      </w:r>
      <w:r>
        <w:rPr>
          <w:rFonts w:hint="eastAsia" w:ascii="仿宋" w:hAnsi="仿宋" w:eastAsia="仿宋" w:cs="仿宋"/>
          <w:i w:val="0"/>
          <w:iCs w:val="0"/>
          <w:caps w:val="0"/>
          <w:color w:val="333333"/>
          <w:spacing w:val="0"/>
          <w:sz w:val="32"/>
          <w:szCs w:val="32"/>
          <w:shd w:val="clear" w:color="auto" w:fill="FFFFFF"/>
          <w:lang w:val="en-US" w:eastAsia="zh-CN"/>
        </w:rPr>
        <w:t>事业编制178人，员额制28人，2022</w:t>
      </w:r>
      <w:r>
        <w:rPr>
          <w:rFonts w:hint="eastAsia" w:ascii="仿宋" w:hAnsi="仿宋" w:eastAsia="仿宋" w:cs="仿宋"/>
          <w:i w:val="0"/>
          <w:iCs w:val="0"/>
          <w:caps w:val="0"/>
          <w:color w:val="333333"/>
          <w:spacing w:val="0"/>
          <w:sz w:val="32"/>
          <w:szCs w:val="32"/>
          <w:shd w:val="clear" w:color="auto" w:fill="FFFFFF"/>
        </w:rPr>
        <w:t>年12</w:t>
      </w:r>
      <w:r>
        <w:rPr>
          <w:rFonts w:hint="eastAsia" w:ascii="仿宋" w:hAnsi="仿宋" w:eastAsia="仿宋" w:cs="仿宋"/>
          <w:i w:val="0"/>
          <w:iCs w:val="0"/>
          <w:caps w:val="0"/>
          <w:color w:val="333333"/>
          <w:spacing w:val="0"/>
          <w:sz w:val="32"/>
          <w:szCs w:val="32"/>
          <w:shd w:val="clear" w:color="auto" w:fill="FFFFFF"/>
          <w:lang w:val="en-US" w:eastAsia="zh-CN"/>
        </w:rPr>
        <w:t>月</w:t>
      </w:r>
      <w:r>
        <w:rPr>
          <w:rFonts w:hint="eastAsia" w:ascii="仿宋" w:hAnsi="仿宋" w:eastAsia="仿宋" w:cs="仿宋"/>
          <w:i w:val="0"/>
          <w:iCs w:val="0"/>
          <w:caps w:val="0"/>
          <w:color w:val="333333"/>
          <w:spacing w:val="0"/>
          <w:sz w:val="32"/>
          <w:szCs w:val="32"/>
          <w:shd w:val="clear" w:color="auto" w:fill="FFFFFF"/>
        </w:rPr>
        <w:t>末，</w:t>
      </w:r>
      <w:r>
        <w:rPr>
          <w:rFonts w:hint="eastAsia" w:ascii="仿宋" w:hAnsi="仿宋" w:eastAsia="仿宋" w:cs="仿宋"/>
          <w:i w:val="0"/>
          <w:iCs w:val="0"/>
          <w:caps w:val="0"/>
          <w:color w:val="333333"/>
          <w:spacing w:val="0"/>
          <w:sz w:val="32"/>
          <w:szCs w:val="32"/>
          <w:shd w:val="clear" w:color="auto" w:fill="FFFFFF"/>
          <w:lang w:val="en-US" w:eastAsia="zh-CN"/>
        </w:rPr>
        <w:t>实际在职在编人数为190人，临聘人员28人，共有218人。</w:t>
      </w:r>
    </w:p>
    <w:p>
      <w:pPr>
        <w:spacing w:line="660" w:lineRule="exact"/>
        <w:ind w:firstLine="640"/>
        <w:rPr>
          <w:rFonts w:hint="default" w:ascii="仿宋" w:hAnsi="仿宋" w:eastAsia="仿宋" w:cs="仿宋"/>
          <w:i w:val="0"/>
          <w:iCs w:val="0"/>
          <w:caps w:val="0"/>
          <w:color w:val="333333"/>
          <w:spacing w:val="0"/>
          <w:sz w:val="32"/>
          <w:szCs w:val="32"/>
          <w:shd w:val="clear" w:color="auto" w:fill="FFFFFF"/>
          <w:lang w:val="en-US" w:eastAsia="zh-CN"/>
        </w:rPr>
      </w:pPr>
      <w:r>
        <w:rPr>
          <w:rFonts w:hint="eastAsia" w:ascii="仿宋" w:hAnsi="仿宋" w:eastAsia="仿宋" w:cs="仿宋"/>
          <w:i w:val="0"/>
          <w:iCs w:val="0"/>
          <w:caps w:val="0"/>
          <w:color w:val="333333"/>
          <w:spacing w:val="0"/>
          <w:sz w:val="32"/>
          <w:szCs w:val="32"/>
          <w:shd w:val="clear" w:color="auto" w:fill="FFFFFF"/>
          <w:lang w:val="en-US" w:eastAsia="zh-CN"/>
        </w:rPr>
        <w:t>本年度重点工作计划：扩班教学设备购置、篮球场和足球场场馆改造工程、运动场主席台钢架棚工程等。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50" w:beforeAutospacing="0" w:after="0" w:afterAutospacing="0" w:line="540" w:lineRule="atLeast"/>
        <w:ind w:left="0" w:right="0" w:firstLine="645"/>
        <w:rPr>
          <w:rFonts w:hint="default" w:ascii="仿宋_GB2312" w:hAnsi="微软雅黑" w:eastAsia="仿宋_GB2312" w:cs="仿宋_GB2312"/>
          <w:i w:val="0"/>
          <w:iCs w:val="0"/>
          <w:caps w:val="0"/>
          <w:color w:val="333333"/>
          <w:spacing w:val="0"/>
          <w:sz w:val="32"/>
          <w:szCs w:val="32"/>
          <w:shd w:val="clear" w:color="auto" w:fill="FFFFFF"/>
          <w:lang w:val="en-US" w:eastAsia="zh-CN"/>
        </w:rPr>
      </w:pPr>
      <w:r>
        <w:rPr>
          <w:rFonts w:ascii="仿宋" w:hAnsi="仿宋" w:eastAsia="仿宋"/>
          <w:spacing w:val="-2"/>
          <w:sz w:val="32"/>
          <w:szCs w:val="32"/>
        </w:rPr>
        <w:t>（二）</w:t>
      </w:r>
      <w:r>
        <w:rPr>
          <w:rFonts w:ascii="仿宋_GB2312" w:hAnsi="微软雅黑" w:eastAsia="仿宋_GB2312" w:cs="仿宋_GB2312"/>
          <w:i w:val="0"/>
          <w:iCs w:val="0"/>
          <w:caps w:val="0"/>
          <w:color w:val="333333"/>
          <w:spacing w:val="0"/>
          <w:sz w:val="32"/>
          <w:szCs w:val="32"/>
          <w:shd w:val="clear" w:color="auto" w:fill="FFFFFF"/>
        </w:rPr>
        <w:t>全年</w:t>
      </w:r>
      <w:r>
        <w:rPr>
          <w:rFonts w:hint="eastAsia" w:ascii="仿宋_GB2312" w:hAnsi="微软雅黑" w:eastAsia="仿宋_GB2312" w:cs="仿宋_GB2312"/>
          <w:i w:val="0"/>
          <w:iCs w:val="0"/>
          <w:caps w:val="0"/>
          <w:color w:val="333333"/>
          <w:spacing w:val="0"/>
          <w:sz w:val="32"/>
          <w:szCs w:val="32"/>
          <w:shd w:val="clear" w:color="auto" w:fill="FFFFFF"/>
          <w:lang w:val="en-US" w:eastAsia="zh-CN"/>
        </w:rPr>
        <w:t>总</w:t>
      </w:r>
      <w:r>
        <w:rPr>
          <w:rFonts w:ascii="仿宋_GB2312" w:hAnsi="微软雅黑" w:eastAsia="仿宋_GB2312" w:cs="仿宋_GB2312"/>
          <w:i w:val="0"/>
          <w:iCs w:val="0"/>
          <w:caps w:val="0"/>
          <w:color w:val="333333"/>
          <w:spacing w:val="0"/>
          <w:sz w:val="32"/>
          <w:szCs w:val="32"/>
          <w:shd w:val="clear" w:color="auto" w:fill="FFFFFF"/>
        </w:rPr>
        <w:t>收入</w:t>
      </w:r>
      <w:r>
        <w:rPr>
          <w:rFonts w:hint="eastAsia" w:ascii="仿宋_GB2312" w:hAnsi="微软雅黑" w:eastAsia="仿宋_GB2312" w:cs="仿宋_GB2312"/>
          <w:i w:val="0"/>
          <w:iCs w:val="0"/>
          <w:caps w:val="0"/>
          <w:color w:val="333333"/>
          <w:spacing w:val="0"/>
          <w:sz w:val="32"/>
          <w:szCs w:val="32"/>
          <w:shd w:val="clear" w:color="auto" w:fill="FFFFFF"/>
          <w:lang w:val="en-US" w:eastAsia="zh-CN"/>
        </w:rPr>
        <w:t>3956.78</w:t>
      </w:r>
      <w:r>
        <w:rPr>
          <w:rFonts w:ascii="仿宋_GB2312" w:hAnsi="微软雅黑" w:eastAsia="仿宋_GB2312" w:cs="仿宋_GB2312"/>
          <w:i w:val="0"/>
          <w:iCs w:val="0"/>
          <w:caps w:val="0"/>
          <w:color w:val="333333"/>
          <w:spacing w:val="0"/>
          <w:sz w:val="32"/>
          <w:szCs w:val="32"/>
          <w:shd w:val="clear" w:color="auto" w:fill="FFFFFF"/>
        </w:rPr>
        <w:t>万元</w:t>
      </w:r>
      <w:r>
        <w:rPr>
          <w:rFonts w:hint="eastAsia" w:ascii="仿宋_GB2312" w:hAnsi="微软雅黑" w:eastAsia="仿宋_GB2312" w:cs="仿宋_GB2312"/>
          <w:i w:val="0"/>
          <w:iCs w:val="0"/>
          <w:caps w:val="0"/>
          <w:color w:val="333333"/>
          <w:spacing w:val="0"/>
          <w:sz w:val="32"/>
          <w:szCs w:val="32"/>
          <w:shd w:val="clear" w:color="auto" w:fill="FFFFFF"/>
          <w:lang w:eastAsia="zh-CN"/>
        </w:rPr>
        <w:t>，</w:t>
      </w:r>
      <w:r>
        <w:rPr>
          <w:rFonts w:ascii="仿宋_GB2312" w:hAnsi="微软雅黑" w:eastAsia="仿宋_GB2312" w:cs="仿宋_GB2312"/>
          <w:i w:val="0"/>
          <w:iCs w:val="0"/>
          <w:caps w:val="0"/>
          <w:color w:val="333333"/>
          <w:spacing w:val="0"/>
          <w:sz w:val="32"/>
          <w:szCs w:val="32"/>
          <w:shd w:val="clear" w:color="auto" w:fill="FFFFFF"/>
        </w:rPr>
        <w:t>其中：</w:t>
      </w:r>
      <w:r>
        <w:rPr>
          <w:rFonts w:hint="eastAsia" w:ascii="仿宋_GB2312" w:hAnsi="微软雅黑" w:eastAsia="仿宋_GB2312" w:cs="仿宋_GB2312"/>
          <w:i w:val="0"/>
          <w:iCs w:val="0"/>
          <w:caps w:val="0"/>
          <w:color w:val="333333"/>
          <w:spacing w:val="0"/>
          <w:sz w:val="32"/>
          <w:szCs w:val="32"/>
          <w:shd w:val="clear" w:color="auto" w:fill="FFFFFF"/>
          <w:lang w:val="en-US" w:eastAsia="zh-CN"/>
        </w:rPr>
        <w:t>一般公共预算财政拨款收入3429.61</w:t>
      </w:r>
      <w:r>
        <w:rPr>
          <w:rFonts w:ascii="仿宋_GB2312" w:hAnsi="微软雅黑" w:eastAsia="仿宋_GB2312" w:cs="仿宋_GB2312"/>
          <w:i w:val="0"/>
          <w:iCs w:val="0"/>
          <w:caps w:val="0"/>
          <w:color w:val="333333"/>
          <w:spacing w:val="0"/>
          <w:sz w:val="32"/>
          <w:szCs w:val="32"/>
          <w:shd w:val="clear" w:color="auto" w:fill="FFFFFF"/>
        </w:rPr>
        <w:t>万元，</w:t>
      </w:r>
      <w:r>
        <w:rPr>
          <w:rFonts w:hint="eastAsia" w:ascii="仿宋_GB2312" w:hAnsi="微软雅黑" w:eastAsia="仿宋_GB2312" w:cs="仿宋_GB2312"/>
          <w:i w:val="0"/>
          <w:iCs w:val="0"/>
          <w:caps w:val="0"/>
          <w:color w:val="333333"/>
          <w:spacing w:val="0"/>
          <w:sz w:val="32"/>
          <w:szCs w:val="32"/>
          <w:shd w:val="clear" w:color="auto" w:fill="FFFFFF"/>
          <w:lang w:val="en-US" w:eastAsia="zh-CN"/>
        </w:rPr>
        <w:t>事业收入527.17万元。</w:t>
      </w:r>
    </w:p>
    <w:p>
      <w:pPr>
        <w:widowControl/>
        <w:shd w:val="clear" w:color="auto" w:fill="FFFFFF"/>
        <w:spacing w:line="600" w:lineRule="atLeast"/>
        <w:ind w:firstLine="320" w:firstLineChars="100"/>
        <w:rPr>
          <w:rFonts w:ascii="仿宋" w:hAnsi="仿宋" w:eastAsia="仿宋"/>
          <w:spacing w:val="-2"/>
          <w:sz w:val="32"/>
          <w:szCs w:val="21"/>
        </w:rPr>
      </w:pPr>
      <w:r>
        <w:rPr>
          <w:rFonts w:hint="default" w:ascii="仿宋_GB2312" w:hAnsi="微软雅黑" w:eastAsia="仿宋_GB2312" w:cs="仿宋_GB2312"/>
          <w:i w:val="0"/>
          <w:iCs w:val="0"/>
          <w:caps w:val="0"/>
          <w:color w:val="333333"/>
          <w:spacing w:val="0"/>
          <w:sz w:val="32"/>
          <w:szCs w:val="32"/>
          <w:shd w:val="clear" w:color="auto" w:fill="FFFFFF"/>
        </w:rPr>
        <w:t>全年总支出</w:t>
      </w:r>
      <w:r>
        <w:rPr>
          <w:rFonts w:hint="eastAsia" w:ascii="仿宋_GB2312" w:hAnsi="微软雅黑" w:eastAsia="仿宋_GB2312" w:cs="仿宋_GB2312"/>
          <w:i w:val="0"/>
          <w:iCs w:val="0"/>
          <w:caps w:val="0"/>
          <w:color w:val="333333"/>
          <w:spacing w:val="0"/>
          <w:sz w:val="32"/>
          <w:szCs w:val="32"/>
          <w:shd w:val="clear" w:color="auto" w:fill="FFFFFF"/>
          <w:lang w:val="en-US" w:eastAsia="zh-CN"/>
        </w:rPr>
        <w:t>3956.78</w:t>
      </w:r>
      <w:r>
        <w:rPr>
          <w:rFonts w:hint="default" w:ascii="仿宋_GB2312" w:hAnsi="微软雅黑" w:eastAsia="仿宋_GB2312" w:cs="仿宋_GB2312"/>
          <w:i w:val="0"/>
          <w:iCs w:val="0"/>
          <w:caps w:val="0"/>
          <w:color w:val="333333"/>
          <w:spacing w:val="0"/>
          <w:sz w:val="32"/>
          <w:szCs w:val="32"/>
          <w:shd w:val="clear" w:color="auto" w:fill="FFFFFF"/>
        </w:rPr>
        <w:t>万元，其中</w:t>
      </w:r>
      <w:r>
        <w:rPr>
          <w:rFonts w:hint="eastAsia" w:ascii="仿宋_GB2312" w:hAnsi="微软雅黑" w:eastAsia="仿宋_GB2312" w:cs="仿宋_GB2312"/>
          <w:i w:val="0"/>
          <w:iCs w:val="0"/>
          <w:caps w:val="0"/>
          <w:color w:val="333333"/>
          <w:spacing w:val="0"/>
          <w:sz w:val="32"/>
          <w:szCs w:val="32"/>
          <w:shd w:val="clear" w:color="auto" w:fill="FFFFFF"/>
          <w:lang w:val="en-US" w:eastAsia="zh-CN"/>
        </w:rPr>
        <w:t>基本支出3680.88</w:t>
      </w:r>
      <w:r>
        <w:rPr>
          <w:rFonts w:hint="default" w:ascii="仿宋_GB2312" w:hAnsi="微软雅黑" w:eastAsia="仿宋_GB2312" w:cs="仿宋_GB2312"/>
          <w:i w:val="0"/>
          <w:iCs w:val="0"/>
          <w:caps w:val="0"/>
          <w:color w:val="333333"/>
          <w:spacing w:val="0"/>
          <w:sz w:val="32"/>
          <w:szCs w:val="32"/>
          <w:shd w:val="clear" w:color="auto" w:fill="FFFFFF"/>
        </w:rPr>
        <w:t>万元，项目支出</w:t>
      </w:r>
      <w:r>
        <w:rPr>
          <w:rFonts w:hint="eastAsia" w:ascii="仿宋_GB2312" w:hAnsi="微软雅黑" w:eastAsia="仿宋_GB2312" w:cs="仿宋_GB2312"/>
          <w:i w:val="0"/>
          <w:iCs w:val="0"/>
          <w:caps w:val="0"/>
          <w:color w:val="333333"/>
          <w:spacing w:val="0"/>
          <w:sz w:val="32"/>
          <w:szCs w:val="32"/>
          <w:shd w:val="clear" w:color="auto" w:fill="FFFFFF"/>
          <w:lang w:val="en-US" w:eastAsia="zh-CN"/>
        </w:rPr>
        <w:t>275.90</w:t>
      </w:r>
      <w:r>
        <w:rPr>
          <w:rFonts w:hint="default" w:ascii="仿宋_GB2312" w:hAnsi="微软雅黑" w:eastAsia="仿宋_GB2312" w:cs="仿宋_GB2312"/>
          <w:i w:val="0"/>
          <w:iCs w:val="0"/>
          <w:caps w:val="0"/>
          <w:color w:val="333333"/>
          <w:spacing w:val="0"/>
          <w:sz w:val="32"/>
          <w:szCs w:val="32"/>
          <w:shd w:val="clear" w:color="auto" w:fill="FFFFFF"/>
        </w:rPr>
        <w:t>万元。</w:t>
      </w:r>
      <w:r>
        <w:rPr>
          <w:rFonts w:hint="eastAsia" w:ascii="仿宋_GB2312" w:hAnsi="微软雅黑" w:eastAsia="仿宋_GB2312" w:cs="仿宋_GB2312"/>
          <w:i w:val="0"/>
          <w:iCs w:val="0"/>
          <w:caps w:val="0"/>
          <w:color w:val="333333"/>
          <w:spacing w:val="0"/>
          <w:sz w:val="32"/>
          <w:szCs w:val="32"/>
          <w:shd w:val="clear" w:color="auto" w:fill="FFFFFF"/>
          <w:lang w:val="en-US" w:eastAsia="zh-CN"/>
        </w:rPr>
        <w:t>基本支出</w:t>
      </w:r>
      <w:r>
        <w:rPr>
          <w:rFonts w:hint="default" w:ascii="仿宋_GB2312" w:hAnsi="微软雅黑" w:eastAsia="仿宋_GB2312" w:cs="仿宋_GB2312"/>
          <w:i w:val="0"/>
          <w:iCs w:val="0"/>
          <w:caps w:val="0"/>
          <w:color w:val="333333"/>
          <w:spacing w:val="0"/>
          <w:sz w:val="32"/>
          <w:szCs w:val="32"/>
          <w:shd w:val="clear" w:color="auto" w:fill="FFFFFF"/>
        </w:rPr>
        <w:t>为保障</w:t>
      </w:r>
      <w:r>
        <w:rPr>
          <w:rFonts w:hint="eastAsia" w:ascii="仿宋_GB2312" w:hAnsi="微软雅黑" w:eastAsia="仿宋_GB2312" w:cs="仿宋_GB2312"/>
          <w:i w:val="0"/>
          <w:iCs w:val="0"/>
          <w:caps w:val="0"/>
          <w:color w:val="333333"/>
          <w:spacing w:val="0"/>
          <w:sz w:val="32"/>
          <w:szCs w:val="32"/>
          <w:shd w:val="clear" w:color="auto" w:fill="FFFFFF"/>
          <w:lang w:val="en-US" w:eastAsia="zh-CN"/>
        </w:rPr>
        <w:t>学校</w:t>
      </w:r>
      <w:r>
        <w:rPr>
          <w:rFonts w:hint="default" w:ascii="仿宋_GB2312" w:hAnsi="微软雅黑" w:eastAsia="仿宋_GB2312" w:cs="仿宋_GB2312"/>
          <w:i w:val="0"/>
          <w:iCs w:val="0"/>
          <w:caps w:val="0"/>
          <w:color w:val="333333"/>
          <w:spacing w:val="0"/>
          <w:sz w:val="32"/>
          <w:szCs w:val="32"/>
          <w:shd w:val="clear" w:color="auto" w:fill="FFFFFF"/>
        </w:rPr>
        <w:t>各部门正常运转、完成日常工作任务而发生的各项支出，其中包括</w:t>
      </w:r>
      <w:r>
        <w:rPr>
          <w:rFonts w:hint="eastAsia" w:ascii="仿宋_GB2312" w:hAnsi="微软雅黑" w:eastAsia="仿宋_GB2312" w:cs="仿宋_GB2312"/>
          <w:i w:val="0"/>
          <w:iCs w:val="0"/>
          <w:caps w:val="0"/>
          <w:color w:val="333333"/>
          <w:spacing w:val="0"/>
          <w:sz w:val="32"/>
          <w:szCs w:val="32"/>
          <w:shd w:val="clear" w:color="auto" w:fill="FFFFFF"/>
          <w:lang w:val="en-US" w:eastAsia="zh-CN"/>
        </w:rPr>
        <w:t>人员经费3336.82</w:t>
      </w:r>
      <w:r>
        <w:rPr>
          <w:rFonts w:hint="default" w:ascii="仿宋_GB2312" w:hAnsi="微软雅黑" w:eastAsia="仿宋_GB2312" w:cs="仿宋_GB2312"/>
          <w:i w:val="0"/>
          <w:iCs w:val="0"/>
          <w:caps w:val="0"/>
          <w:color w:val="333333"/>
          <w:spacing w:val="0"/>
          <w:sz w:val="32"/>
          <w:szCs w:val="32"/>
          <w:shd w:val="clear" w:color="auto" w:fill="FFFFFF"/>
        </w:rPr>
        <w:t>万元，</w:t>
      </w:r>
      <w:r>
        <w:rPr>
          <w:rFonts w:hint="eastAsia" w:ascii="仿宋_GB2312" w:hAnsi="微软雅黑" w:eastAsia="仿宋_GB2312" w:cs="仿宋_GB2312"/>
          <w:i w:val="0"/>
          <w:iCs w:val="0"/>
          <w:caps w:val="0"/>
          <w:color w:val="333333"/>
          <w:spacing w:val="0"/>
          <w:sz w:val="32"/>
          <w:szCs w:val="32"/>
          <w:shd w:val="clear" w:color="auto" w:fill="FFFFFF"/>
          <w:lang w:val="en-US" w:eastAsia="zh-CN"/>
        </w:rPr>
        <w:t>公用经费344.06万元。</w:t>
      </w:r>
      <w:r>
        <w:rPr>
          <w:rFonts w:hint="default" w:ascii="仿宋_GB2312" w:hAnsi="微软雅黑" w:eastAsia="仿宋_GB2312" w:cs="仿宋_GB2312"/>
          <w:i w:val="0"/>
          <w:iCs w:val="0"/>
          <w:caps w:val="0"/>
          <w:color w:val="333333"/>
          <w:spacing w:val="0"/>
          <w:sz w:val="32"/>
          <w:szCs w:val="32"/>
          <w:shd w:val="clear" w:color="auto" w:fill="FFFFFF"/>
        </w:rPr>
        <w:t>项目支出</w:t>
      </w:r>
      <w:r>
        <w:rPr>
          <w:rFonts w:hint="eastAsia" w:ascii="仿宋_GB2312" w:hAnsi="微软雅黑" w:eastAsia="仿宋_GB2312" w:cs="仿宋_GB2312"/>
          <w:i w:val="0"/>
          <w:iCs w:val="0"/>
          <w:caps w:val="0"/>
          <w:color w:val="333333"/>
          <w:spacing w:val="0"/>
          <w:sz w:val="32"/>
          <w:szCs w:val="32"/>
          <w:shd w:val="clear" w:color="auto" w:fill="FFFFFF"/>
          <w:lang w:val="en-US" w:eastAsia="zh-CN"/>
        </w:rPr>
        <w:t>是用于学校建设改造项目的经费支出。</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二、部门整体支出管理及使用情况</w:t>
      </w:r>
    </w:p>
    <w:p>
      <w:pPr>
        <w:widowControl/>
        <w:shd w:val="clear" w:color="auto" w:fill="FFFFFF"/>
        <w:spacing w:line="600" w:lineRule="atLeast"/>
        <w:ind w:firstLine="643"/>
        <w:rPr>
          <w:rFonts w:ascii="仿宋" w:hAnsi="仿宋" w:eastAsia="仿宋"/>
          <w:b/>
          <w:spacing w:val="-2"/>
          <w:sz w:val="32"/>
          <w:szCs w:val="32"/>
        </w:rPr>
      </w:pPr>
      <w:r>
        <w:rPr>
          <w:rFonts w:ascii="仿宋" w:hAnsi="仿宋" w:eastAsia="仿宋"/>
          <w:b/>
          <w:spacing w:val="-2"/>
          <w:sz w:val="32"/>
          <w:szCs w:val="32"/>
        </w:rPr>
        <w:t>（一）基本支出</w:t>
      </w:r>
    </w:p>
    <w:p>
      <w:pPr>
        <w:widowControl/>
        <w:shd w:val="clear" w:color="auto" w:fill="FFFFFF"/>
        <w:spacing w:line="600" w:lineRule="atLeast"/>
        <w:ind w:firstLine="640"/>
        <w:rPr>
          <w:rFonts w:hint="eastAsia" w:ascii="仿宋" w:hAnsi="仿宋" w:eastAsia="仿宋" w:cs="仿宋"/>
          <w:b w:val="0"/>
          <w:sz w:val="32"/>
          <w:szCs w:val="32"/>
          <w:lang w:val="en-US" w:eastAsia="zh-CN"/>
        </w:rPr>
      </w:pPr>
      <w:r>
        <w:rPr>
          <w:rFonts w:ascii="仿宋_GB2312" w:hAnsi="宋体" w:eastAsia="仿宋_GB2312" w:cs="仿宋_GB2312"/>
          <w:i w:val="0"/>
          <w:iCs w:val="0"/>
          <w:caps w:val="0"/>
          <w:color w:val="333333"/>
          <w:spacing w:val="0"/>
          <w:sz w:val="32"/>
          <w:szCs w:val="32"/>
          <w:shd w:val="clear" w:color="auto" w:fill="FFFFFF"/>
        </w:rPr>
        <w:t>主要用于保障</w:t>
      </w:r>
      <w:r>
        <w:rPr>
          <w:rFonts w:hint="eastAsia" w:ascii="仿宋_GB2312" w:hAnsi="宋体" w:eastAsia="仿宋_GB2312" w:cs="仿宋_GB2312"/>
          <w:i w:val="0"/>
          <w:iCs w:val="0"/>
          <w:caps w:val="0"/>
          <w:color w:val="333333"/>
          <w:spacing w:val="0"/>
          <w:sz w:val="32"/>
          <w:szCs w:val="32"/>
          <w:shd w:val="clear" w:color="auto" w:fill="FFFFFF"/>
          <w:lang w:val="en-US" w:eastAsia="zh-CN"/>
        </w:rPr>
        <w:t>教职工</w:t>
      </w:r>
      <w:r>
        <w:rPr>
          <w:rFonts w:ascii="仿宋_GB2312" w:hAnsi="宋体" w:eastAsia="仿宋_GB2312" w:cs="仿宋_GB2312"/>
          <w:i w:val="0"/>
          <w:iCs w:val="0"/>
          <w:caps w:val="0"/>
          <w:color w:val="333333"/>
          <w:spacing w:val="0"/>
          <w:sz w:val="32"/>
          <w:szCs w:val="32"/>
          <w:shd w:val="clear" w:color="auto" w:fill="FFFFFF"/>
        </w:rPr>
        <w:t>基本工资、津贴补贴、奖金、</w:t>
      </w:r>
      <w:r>
        <w:rPr>
          <w:rFonts w:hint="eastAsia" w:ascii="仿宋_GB2312" w:hAnsi="宋体" w:eastAsia="仿宋_GB2312" w:cs="仿宋_GB2312"/>
          <w:i w:val="0"/>
          <w:iCs w:val="0"/>
          <w:caps w:val="0"/>
          <w:color w:val="333333"/>
          <w:spacing w:val="0"/>
          <w:sz w:val="32"/>
          <w:szCs w:val="32"/>
          <w:shd w:val="clear" w:color="auto" w:fill="FFFFFF"/>
          <w:lang w:val="en-US" w:eastAsia="zh-CN"/>
        </w:rPr>
        <w:t>养老保险、医疗保险等</w:t>
      </w:r>
      <w:r>
        <w:rPr>
          <w:rFonts w:ascii="仿宋_GB2312" w:hAnsi="宋体" w:eastAsia="仿宋_GB2312" w:cs="仿宋_GB2312"/>
          <w:i w:val="0"/>
          <w:iCs w:val="0"/>
          <w:caps w:val="0"/>
          <w:color w:val="333333"/>
          <w:spacing w:val="0"/>
          <w:sz w:val="32"/>
          <w:szCs w:val="32"/>
          <w:shd w:val="clear" w:color="auto" w:fill="FFFFFF"/>
        </w:rPr>
        <w:t>社会保障缴费、</w:t>
      </w:r>
      <w:r>
        <w:rPr>
          <w:rFonts w:hint="eastAsia" w:ascii="仿宋_GB2312" w:hAnsi="宋体" w:eastAsia="仿宋_GB2312" w:cs="仿宋_GB2312"/>
          <w:i w:val="0"/>
          <w:iCs w:val="0"/>
          <w:caps w:val="0"/>
          <w:color w:val="333333"/>
          <w:spacing w:val="0"/>
          <w:sz w:val="32"/>
          <w:szCs w:val="32"/>
          <w:shd w:val="clear" w:color="auto" w:fill="FFFFFF"/>
          <w:lang w:val="en-US" w:eastAsia="zh-CN"/>
        </w:rPr>
        <w:t>教职工课后服务补贴、临聘人员工资</w:t>
      </w:r>
      <w:r>
        <w:rPr>
          <w:rFonts w:ascii="仿宋_GB2312" w:hAnsi="宋体" w:eastAsia="仿宋_GB2312" w:cs="仿宋_GB2312"/>
          <w:i w:val="0"/>
          <w:iCs w:val="0"/>
          <w:caps w:val="0"/>
          <w:color w:val="333333"/>
          <w:spacing w:val="0"/>
          <w:sz w:val="32"/>
          <w:szCs w:val="32"/>
          <w:shd w:val="clear" w:color="auto" w:fill="FFFFFF"/>
        </w:rPr>
        <w:t>等工资福利支出、办公费、</w:t>
      </w:r>
      <w:r>
        <w:rPr>
          <w:rFonts w:hint="eastAsia" w:ascii="仿宋_GB2312" w:hAnsi="宋体" w:eastAsia="仿宋_GB2312" w:cs="仿宋_GB2312"/>
          <w:i w:val="0"/>
          <w:iCs w:val="0"/>
          <w:caps w:val="0"/>
          <w:color w:val="333333"/>
          <w:spacing w:val="0"/>
          <w:sz w:val="32"/>
          <w:szCs w:val="32"/>
          <w:shd w:val="clear" w:color="auto" w:fill="FFFFFF"/>
          <w:lang w:val="en-US" w:eastAsia="zh-CN"/>
        </w:rPr>
        <w:t>水电费、培训费、</w:t>
      </w:r>
      <w:r>
        <w:rPr>
          <w:rFonts w:ascii="仿宋_GB2312" w:hAnsi="宋体" w:eastAsia="仿宋_GB2312" w:cs="仿宋_GB2312"/>
          <w:i w:val="0"/>
          <w:iCs w:val="0"/>
          <w:caps w:val="0"/>
          <w:color w:val="333333"/>
          <w:spacing w:val="0"/>
          <w:sz w:val="32"/>
          <w:szCs w:val="32"/>
          <w:shd w:val="clear" w:color="auto" w:fill="FFFFFF"/>
        </w:rPr>
        <w:t>三公经费等商品和服务支出</w:t>
      </w:r>
      <w:r>
        <w:rPr>
          <w:rFonts w:hint="eastAsia" w:ascii="仿宋_GB2312" w:hAnsi="宋体" w:eastAsia="仿宋_GB2312" w:cs="仿宋_GB2312"/>
          <w:i w:val="0"/>
          <w:iCs w:val="0"/>
          <w:caps w:val="0"/>
          <w:color w:val="333333"/>
          <w:spacing w:val="0"/>
          <w:sz w:val="32"/>
          <w:szCs w:val="32"/>
          <w:shd w:val="clear" w:color="auto" w:fill="FFFFFF"/>
          <w:lang w:val="en-US" w:eastAsia="zh-CN"/>
        </w:rPr>
        <w:t>等</w:t>
      </w:r>
      <w:r>
        <w:rPr>
          <w:rFonts w:hint="eastAsia" w:ascii="仿宋" w:hAnsi="仿宋" w:eastAsia="仿宋" w:cs="仿宋"/>
          <w:b w:val="0"/>
          <w:sz w:val="32"/>
          <w:szCs w:val="32"/>
          <w:lang w:val="en-US" w:eastAsia="zh-CN"/>
        </w:rPr>
        <w:t xml:space="preserve"> 。2022年学校加强资金使用管理，坚持勤俭节约的原则，严格按财务制度的要求，将每一分钱落到实处并发挥最大效率。</w:t>
      </w:r>
    </w:p>
    <w:p>
      <w:pPr>
        <w:widowControl/>
        <w:shd w:val="clear" w:color="auto" w:fill="FFFFFF"/>
        <w:spacing w:line="600" w:lineRule="atLeast"/>
        <w:ind w:firstLine="640"/>
        <w:rPr>
          <w:rFonts w:hint="default" w:ascii="仿宋" w:hAnsi="仿宋" w:eastAsia="仿宋" w:cs="仿宋"/>
          <w:b w:val="0"/>
          <w:sz w:val="32"/>
          <w:szCs w:val="32"/>
          <w:lang w:val="en-US" w:eastAsia="zh-CN"/>
        </w:rPr>
      </w:pPr>
      <w:r>
        <w:rPr>
          <w:rFonts w:hint="eastAsia" w:ascii="仿宋" w:hAnsi="仿宋" w:eastAsia="仿宋" w:cs="仿宋"/>
          <w:b w:val="0"/>
          <w:sz w:val="32"/>
          <w:szCs w:val="32"/>
          <w:lang w:val="en-US" w:eastAsia="zh-CN"/>
        </w:rPr>
        <w:t>三公经费支出1.66万元，全部用于公务用车运行维护费。学校严格对三公经费把控，尽量减少三公经费的开支，达到节约的目的。</w:t>
      </w:r>
    </w:p>
    <w:p>
      <w:pPr>
        <w:widowControl/>
        <w:shd w:val="clear" w:color="auto" w:fill="FFFFFF"/>
        <w:spacing w:line="600" w:lineRule="atLeast"/>
        <w:ind w:firstLine="316" w:firstLineChars="100"/>
        <w:rPr>
          <w:rFonts w:ascii="楷体" w:hAnsi="楷体" w:eastAsia="楷体"/>
          <w:b/>
          <w:spacing w:val="-2"/>
          <w:sz w:val="32"/>
          <w:szCs w:val="21"/>
        </w:rPr>
      </w:pPr>
      <w:r>
        <w:rPr>
          <w:rFonts w:ascii="楷体" w:hAnsi="楷体" w:eastAsia="楷体"/>
          <w:b/>
          <w:spacing w:val="-2"/>
          <w:sz w:val="32"/>
          <w:szCs w:val="32"/>
        </w:rPr>
        <w:t>（二）专项支出</w:t>
      </w:r>
    </w:p>
    <w:p>
      <w:pPr>
        <w:widowControl/>
        <w:shd w:val="clear" w:color="auto" w:fill="FFFFFF"/>
        <w:spacing w:line="600" w:lineRule="atLeast"/>
        <w:ind w:firstLine="640"/>
        <w:rPr>
          <w:rFonts w:hint="default" w:ascii="仿宋" w:hAnsi="仿宋" w:eastAsia="仿宋"/>
          <w:spacing w:val="-2"/>
          <w:sz w:val="32"/>
          <w:szCs w:val="21"/>
          <w:lang w:val="en-US" w:eastAsia="zh-CN"/>
        </w:rPr>
      </w:pPr>
      <w:r>
        <w:rPr>
          <w:rFonts w:ascii="仿宋" w:hAnsi="仿宋" w:eastAsia="仿宋"/>
          <w:spacing w:val="-2"/>
          <w:sz w:val="32"/>
          <w:szCs w:val="32"/>
        </w:rPr>
        <w:t>1、</w:t>
      </w:r>
      <w:r>
        <w:rPr>
          <w:rFonts w:hint="eastAsia" w:ascii="仿宋" w:hAnsi="仿宋" w:eastAsia="仿宋"/>
          <w:spacing w:val="-2"/>
          <w:sz w:val="32"/>
          <w:szCs w:val="32"/>
          <w:lang w:val="en-US" w:eastAsia="zh-CN"/>
        </w:rPr>
        <w:t>专项支出经费275.90万元，本年度财政拨款275.90万元。专项资金全部专款专用，所有项目都已经验工结算。</w:t>
      </w:r>
    </w:p>
    <w:p>
      <w:pPr>
        <w:widowControl/>
        <w:shd w:val="clear" w:color="auto" w:fill="FFFFFF"/>
        <w:spacing w:line="600" w:lineRule="atLeast"/>
        <w:ind w:firstLine="632" w:firstLineChars="200"/>
        <w:rPr>
          <w:rFonts w:ascii="仿宋" w:hAnsi="仿宋" w:eastAsia="仿宋"/>
          <w:spacing w:val="-2"/>
          <w:sz w:val="32"/>
          <w:szCs w:val="21"/>
        </w:rPr>
      </w:pPr>
      <w:r>
        <w:rPr>
          <w:rFonts w:ascii="仿宋" w:hAnsi="仿宋" w:eastAsia="仿宋"/>
          <w:spacing w:val="-2"/>
          <w:sz w:val="32"/>
          <w:szCs w:val="32"/>
        </w:rPr>
        <w:t>2、专项资金（主要指财政资金）实际使用情况分析。</w:t>
      </w:r>
    </w:p>
    <w:p>
      <w:pPr>
        <w:widowControl/>
        <w:shd w:val="clear" w:color="auto" w:fill="FFFFFF"/>
        <w:spacing w:line="600" w:lineRule="atLeast"/>
        <w:ind w:firstLine="640"/>
        <w:rPr>
          <w:rFonts w:ascii="仿宋" w:hAnsi="仿宋" w:eastAsia="仿宋"/>
          <w:spacing w:val="-2"/>
          <w:sz w:val="32"/>
          <w:szCs w:val="21"/>
        </w:rPr>
      </w:pPr>
      <w:r>
        <w:rPr>
          <w:rFonts w:ascii="仿宋" w:hAnsi="仿宋" w:eastAsia="仿宋"/>
          <w:spacing w:val="-2"/>
          <w:sz w:val="32"/>
          <w:szCs w:val="32"/>
        </w:rPr>
        <w:t>3、专项资金管理情况分析，主要包括管理制度、办法的制订及执行情况。</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三、部门专项组织实施情况</w:t>
      </w:r>
    </w:p>
    <w:p>
      <w:pPr>
        <w:widowControl/>
        <w:shd w:val="clear" w:color="auto" w:fill="FFFFFF"/>
        <w:spacing w:line="600" w:lineRule="atLeast"/>
        <w:ind w:firstLine="640"/>
        <w:rPr>
          <w:rFonts w:ascii="仿宋" w:hAnsi="仿宋" w:eastAsia="仿宋"/>
          <w:spacing w:val="-2"/>
          <w:sz w:val="32"/>
          <w:szCs w:val="21"/>
        </w:rPr>
      </w:pPr>
      <w:r>
        <w:rPr>
          <w:rFonts w:ascii="仿宋" w:hAnsi="仿宋" w:eastAsia="仿宋"/>
          <w:spacing w:val="-2"/>
          <w:sz w:val="32"/>
          <w:szCs w:val="32"/>
        </w:rPr>
        <w:t>（一）专项组织情况分析，主要包括项目招投标、调整、竣工验收等情况。</w:t>
      </w:r>
    </w:p>
    <w:p>
      <w:pPr>
        <w:widowControl/>
        <w:shd w:val="clear" w:color="auto" w:fill="FFFFFF"/>
        <w:spacing w:line="600" w:lineRule="atLeast"/>
        <w:ind w:firstLine="640"/>
        <w:rPr>
          <w:rFonts w:ascii="仿宋" w:hAnsi="仿宋" w:eastAsia="仿宋"/>
          <w:spacing w:val="-2"/>
          <w:sz w:val="32"/>
          <w:szCs w:val="21"/>
        </w:rPr>
      </w:pPr>
      <w:r>
        <w:rPr>
          <w:rFonts w:ascii="仿宋" w:hAnsi="仿宋" w:eastAsia="仿宋"/>
          <w:spacing w:val="-2"/>
          <w:sz w:val="32"/>
          <w:szCs w:val="32"/>
        </w:rPr>
        <w:t>（二）专项管理情况分析，主要包括项目管理制度建设、日常检查监督管理等情况。</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四、资产管理情况</w:t>
      </w:r>
    </w:p>
    <w:p>
      <w:pPr>
        <w:widowControl/>
        <w:shd w:val="clear" w:color="auto" w:fill="FFFFFF"/>
        <w:spacing w:line="600" w:lineRule="atLeast"/>
        <w:ind w:firstLine="640"/>
        <w:rPr>
          <w:rFonts w:ascii="仿宋" w:hAnsi="仿宋" w:eastAsia="仿宋"/>
          <w:spacing w:val="-2"/>
          <w:sz w:val="32"/>
          <w:szCs w:val="21"/>
        </w:rPr>
      </w:pPr>
      <w:r>
        <w:rPr>
          <w:rFonts w:ascii="仿宋" w:hAnsi="仿宋" w:eastAsia="仿宋"/>
          <w:spacing w:val="-2"/>
          <w:sz w:val="32"/>
          <w:szCs w:val="32"/>
        </w:rPr>
        <w:t>反映部门资产的配置、管理、处置等综合情况。包括制度建设、管理措施、配置处置的程序等。</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五、部门整体支出绩效情况</w:t>
      </w:r>
    </w:p>
    <w:p>
      <w:pPr>
        <w:widowControl/>
        <w:shd w:val="clear" w:color="auto" w:fill="FFFFFF"/>
        <w:spacing w:line="600" w:lineRule="atLeast"/>
        <w:ind w:firstLine="640"/>
        <w:rPr>
          <w:rFonts w:ascii="仿宋" w:hAnsi="仿宋" w:eastAsia="仿宋"/>
          <w:spacing w:val="-2"/>
          <w:sz w:val="32"/>
          <w:szCs w:val="21"/>
        </w:rPr>
      </w:pPr>
      <w:r>
        <w:rPr>
          <w:rFonts w:ascii="仿宋" w:hAnsi="仿宋" w:eastAsia="仿宋"/>
          <w:spacing w:val="-2"/>
          <w:sz w:val="32"/>
          <w:szCs w:val="32"/>
        </w:rPr>
        <w:t>反映部门履职及履职效益情况。主要从部门整体支出的经济性、效率性、有效性和可持续性等方面进行量化、具体分析。其中：经济性分析主要是对成本（预算）控制、节约等情况进行分析；效率性分析主要是对各项工作、专项完成的进度及质量等情况进行分析；有效性分析主要是对反映部门整体支出使用效果的个性指标进行分析；可持续性分析主要是对支出完成后，后续政策、资金、人员机构安排和管理措施等影响项目持续发展的因素进行分析。</w:t>
      </w:r>
    </w:p>
    <w:p>
      <w:pPr>
        <w:widowControl/>
        <w:numPr>
          <w:ilvl w:val="0"/>
          <w:numId w:val="5"/>
        </w:numPr>
        <w:shd w:val="clear" w:color="auto" w:fill="FFFFFF"/>
        <w:spacing w:line="600" w:lineRule="atLeast"/>
        <w:ind w:firstLine="640"/>
        <w:rPr>
          <w:rFonts w:ascii="楷体" w:hAnsi="楷体" w:eastAsia="楷体"/>
          <w:b/>
          <w:spacing w:val="-2"/>
          <w:sz w:val="32"/>
          <w:szCs w:val="32"/>
        </w:rPr>
      </w:pPr>
      <w:r>
        <w:rPr>
          <w:rFonts w:ascii="楷体" w:hAnsi="楷体" w:eastAsia="楷体"/>
          <w:b/>
          <w:spacing w:val="-2"/>
          <w:sz w:val="32"/>
          <w:szCs w:val="32"/>
        </w:rPr>
        <w:t>存在的主要问题</w:t>
      </w:r>
    </w:p>
    <w:p>
      <w:pPr>
        <w:widowControl/>
        <w:numPr>
          <w:ilvl w:val="0"/>
          <w:numId w:val="0"/>
        </w:numPr>
        <w:shd w:val="clear" w:color="auto" w:fill="FFFFFF"/>
        <w:spacing w:line="600" w:lineRule="atLeast"/>
        <w:rPr>
          <w:rFonts w:hint="eastAsia" w:ascii="仿宋" w:hAnsi="仿宋" w:eastAsia="仿宋" w:cs="仿宋"/>
          <w:b w:val="0"/>
          <w:bCs/>
          <w:spacing w:val="-2"/>
          <w:sz w:val="32"/>
          <w:szCs w:val="32"/>
          <w:lang w:val="en-US" w:eastAsia="zh-CN"/>
        </w:rPr>
      </w:pPr>
      <w:r>
        <w:rPr>
          <w:rFonts w:hint="eastAsia" w:ascii="楷体" w:hAnsi="楷体" w:eastAsia="楷体"/>
          <w:b/>
          <w:spacing w:val="-2"/>
          <w:sz w:val="32"/>
          <w:szCs w:val="32"/>
          <w:lang w:val="en-US" w:eastAsia="zh-CN"/>
        </w:rPr>
        <w:t xml:space="preserve">      </w:t>
      </w:r>
      <w:r>
        <w:rPr>
          <w:rFonts w:hint="eastAsia" w:ascii="仿宋" w:hAnsi="仿宋" w:eastAsia="仿宋" w:cs="仿宋"/>
          <w:b w:val="0"/>
          <w:bCs/>
          <w:spacing w:val="-2"/>
          <w:sz w:val="32"/>
          <w:szCs w:val="32"/>
          <w:lang w:val="en-US" w:eastAsia="zh-CN"/>
        </w:rPr>
        <w:t>预算经费执行力度不强，资金使用速度有待提高。</w:t>
      </w:r>
    </w:p>
    <w:p>
      <w:pPr>
        <w:widowControl/>
        <w:shd w:val="clear" w:color="auto" w:fill="FFFFFF"/>
        <w:spacing w:line="600" w:lineRule="atLeast"/>
        <w:ind w:firstLine="640"/>
        <w:rPr>
          <w:rFonts w:ascii="楷体" w:hAnsi="楷体" w:eastAsia="楷体"/>
          <w:b/>
          <w:spacing w:val="-2"/>
          <w:sz w:val="32"/>
          <w:szCs w:val="21"/>
        </w:rPr>
      </w:pPr>
      <w:r>
        <w:rPr>
          <w:rFonts w:ascii="楷体" w:hAnsi="楷体" w:eastAsia="楷体"/>
          <w:b/>
          <w:spacing w:val="-2"/>
          <w:sz w:val="32"/>
          <w:szCs w:val="32"/>
        </w:rPr>
        <w:t>七、改进措施和有关建议</w:t>
      </w:r>
    </w:p>
    <w:p>
      <w:pPr>
        <w:widowControl/>
        <w:shd w:val="clear" w:color="auto" w:fill="FFFFFF"/>
        <w:spacing w:line="600" w:lineRule="atLeast"/>
        <w:ind w:firstLine="640"/>
        <w:rPr>
          <w:rFonts w:hint="default" w:ascii="仿宋" w:hAnsi="仿宋" w:eastAsia="仿宋"/>
          <w:spacing w:val="-2"/>
          <w:sz w:val="32"/>
          <w:szCs w:val="21"/>
          <w:lang w:val="en-US" w:eastAsia="zh-CN"/>
        </w:rPr>
      </w:pPr>
      <w:r>
        <w:rPr>
          <w:rFonts w:hint="eastAsia" w:ascii="仿宋" w:hAnsi="仿宋" w:eastAsia="仿宋"/>
          <w:spacing w:val="-2"/>
          <w:sz w:val="32"/>
          <w:szCs w:val="21"/>
          <w:lang w:val="en-US" w:eastAsia="zh-CN"/>
        </w:rPr>
        <w:t>加强资金使用的力度，各部门做好全年工作规划，按照计划合理、及时、合规地使用预算资金。</w:t>
      </w:r>
    </w:p>
    <w:p/>
    <w:p>
      <w:pPr>
        <w:ind w:firstLine="2880" w:firstLineChars="900"/>
        <w:jc w:val="left"/>
        <w:rPr>
          <w:rFonts w:hint="default" w:cs="黑体" w:asciiTheme="minorEastAsia" w:hAnsiTheme="minorEastAsia"/>
          <w:color w:val="000000"/>
          <w:kern w:val="0"/>
          <w:sz w:val="32"/>
          <w:szCs w:val="32"/>
          <w:lang w:val="en-US" w:eastAsia="zh-CN"/>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7C8ED7"/>
    <w:multiLevelType w:val="singleLevel"/>
    <w:tmpl w:val="F07C8ED7"/>
    <w:lvl w:ilvl="0" w:tentative="0">
      <w:start w:val="7"/>
      <w:numFmt w:val="chineseCounting"/>
      <w:suff w:val="nothing"/>
      <w:lvlText w:val="%1、"/>
      <w:lvlJc w:val="left"/>
      <w:rPr>
        <w:rFonts w:hint="eastAsia"/>
      </w:rPr>
    </w:lvl>
  </w:abstractNum>
  <w:abstractNum w:abstractNumId="1">
    <w:nsid w:val="F2E8600F"/>
    <w:multiLevelType w:val="singleLevel"/>
    <w:tmpl w:val="F2E8600F"/>
    <w:lvl w:ilvl="0" w:tentative="0">
      <w:start w:val="6"/>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4EF8FF8"/>
    <w:multiLevelType w:val="singleLevel"/>
    <w:tmpl w:val="44EF8FF8"/>
    <w:lvl w:ilvl="0" w:tentative="0">
      <w:start w:val="3"/>
      <w:numFmt w:val="decimal"/>
      <w:suff w:val="nothing"/>
      <w:lvlText w:val="%1、"/>
      <w:lvlJc w:val="left"/>
    </w:lvl>
  </w:abstractNum>
  <w:abstractNum w:abstractNumId="4">
    <w:nsid w:val="7948FF5E"/>
    <w:multiLevelType w:val="singleLevel"/>
    <w:tmpl w:val="7948FF5E"/>
    <w:lvl w:ilvl="0" w:tentative="0">
      <w:start w:val="2"/>
      <w:numFmt w:val="chineseCounting"/>
      <w:suff w:val="nothing"/>
      <w:lvlText w:val="（%1）"/>
      <w:lvlJc w:val="left"/>
      <w:rPr>
        <w:rFonts w:hint="eastAsia"/>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xOGU3MDk5NzQ3OGU3OWVhZmZiMjU1MWE3MjRjZm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FF4FCC"/>
    <w:rsid w:val="029C0137"/>
    <w:rsid w:val="03582420"/>
    <w:rsid w:val="036C562F"/>
    <w:rsid w:val="03C65E61"/>
    <w:rsid w:val="04781B7F"/>
    <w:rsid w:val="04983A45"/>
    <w:rsid w:val="07CB5459"/>
    <w:rsid w:val="089D574E"/>
    <w:rsid w:val="09362A0B"/>
    <w:rsid w:val="0A0838E8"/>
    <w:rsid w:val="0ACE025A"/>
    <w:rsid w:val="0AF84DEF"/>
    <w:rsid w:val="0B11396B"/>
    <w:rsid w:val="0B4766DE"/>
    <w:rsid w:val="0B754B8E"/>
    <w:rsid w:val="0BE126A9"/>
    <w:rsid w:val="0F2B4D9D"/>
    <w:rsid w:val="0F7A02B4"/>
    <w:rsid w:val="116B0D6A"/>
    <w:rsid w:val="116C760D"/>
    <w:rsid w:val="1341138C"/>
    <w:rsid w:val="17D00F71"/>
    <w:rsid w:val="17E57AA9"/>
    <w:rsid w:val="19346E9D"/>
    <w:rsid w:val="19C35DF6"/>
    <w:rsid w:val="1CB955E0"/>
    <w:rsid w:val="1CD62FBA"/>
    <w:rsid w:val="1D5D0380"/>
    <w:rsid w:val="1DD913E8"/>
    <w:rsid w:val="25277274"/>
    <w:rsid w:val="29DD2FD4"/>
    <w:rsid w:val="2A030014"/>
    <w:rsid w:val="2A300007"/>
    <w:rsid w:val="2AA94F7D"/>
    <w:rsid w:val="2B862B0C"/>
    <w:rsid w:val="2C2C7BE8"/>
    <w:rsid w:val="2C967F50"/>
    <w:rsid w:val="2E5E2A02"/>
    <w:rsid w:val="2E7D27B4"/>
    <w:rsid w:val="30512590"/>
    <w:rsid w:val="31A93313"/>
    <w:rsid w:val="31CA10BE"/>
    <w:rsid w:val="33904300"/>
    <w:rsid w:val="345C71E4"/>
    <w:rsid w:val="3BB53AB8"/>
    <w:rsid w:val="3CE46D65"/>
    <w:rsid w:val="3EC27ECE"/>
    <w:rsid w:val="3F69405A"/>
    <w:rsid w:val="40D619C2"/>
    <w:rsid w:val="44F141A2"/>
    <w:rsid w:val="46CB2144"/>
    <w:rsid w:val="4903054F"/>
    <w:rsid w:val="4A774F56"/>
    <w:rsid w:val="4B9F5CB9"/>
    <w:rsid w:val="4BC36A7F"/>
    <w:rsid w:val="4FF60B2A"/>
    <w:rsid w:val="510760B8"/>
    <w:rsid w:val="565A3A12"/>
    <w:rsid w:val="56F269C8"/>
    <w:rsid w:val="5777D4F5"/>
    <w:rsid w:val="58363947"/>
    <w:rsid w:val="5D82526B"/>
    <w:rsid w:val="5D871D79"/>
    <w:rsid w:val="5DF71793"/>
    <w:rsid w:val="5F8F3A45"/>
    <w:rsid w:val="5FC6BB1E"/>
    <w:rsid w:val="5FF720F1"/>
    <w:rsid w:val="62481779"/>
    <w:rsid w:val="62A65245"/>
    <w:rsid w:val="630A36EB"/>
    <w:rsid w:val="633C63DE"/>
    <w:rsid w:val="660606E5"/>
    <w:rsid w:val="66EA184E"/>
    <w:rsid w:val="66F85D01"/>
    <w:rsid w:val="68D354BF"/>
    <w:rsid w:val="6A68528A"/>
    <w:rsid w:val="6AFC520F"/>
    <w:rsid w:val="6B5B12F8"/>
    <w:rsid w:val="6DA7387E"/>
    <w:rsid w:val="6F067C57"/>
    <w:rsid w:val="72F7087A"/>
    <w:rsid w:val="73047D9A"/>
    <w:rsid w:val="737D59BA"/>
    <w:rsid w:val="77714928"/>
    <w:rsid w:val="77C37683"/>
    <w:rsid w:val="78580CD2"/>
    <w:rsid w:val="79FF515B"/>
    <w:rsid w:val="7ABE1E80"/>
    <w:rsid w:val="7B0E3CB1"/>
    <w:rsid w:val="7BF71589"/>
    <w:rsid w:val="7C837B5C"/>
    <w:rsid w:val="7E9F11B4"/>
    <w:rsid w:val="7F180B8A"/>
    <w:rsid w:val="7F5A3E1B"/>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100" w:beforeAutospacing="1" w:after="10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69</TotalTime>
  <ScaleCrop>false</ScaleCrop>
  <LinksUpToDate>false</LinksUpToDate>
  <CharactersWithSpaces>9008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宏宇中学财务室</cp:lastModifiedBy>
  <cp:lastPrinted>2023-09-18T01:33:00Z</cp:lastPrinted>
  <dcterms:modified xsi:type="dcterms:W3CDTF">2023-09-28T08:36:18Z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85ACE65DA4F14129B77D6D4E7A3C5267_12</vt:lpwstr>
  </property>
</Properties>
</file>