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66D2FA">
      <w:pPr>
        <w:widowControl/>
        <w:spacing w:line="600" w:lineRule="exact"/>
        <w:ind w:firstLine="1120" w:firstLineChars="200"/>
        <w:jc w:val="center"/>
        <w:rPr>
          <w:sz w:val="56"/>
        </w:rPr>
      </w:pPr>
      <w:r>
        <w:rPr>
          <w:sz w:val="5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-236220</wp:posOffset>
                </wp:positionH>
                <wp:positionV relativeFrom="paragraph">
                  <wp:posOffset>-297180</wp:posOffset>
                </wp:positionV>
                <wp:extent cx="1523365" cy="517525"/>
                <wp:effectExtent l="0" t="0" r="635" b="158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799590" y="935990"/>
                          <a:ext cx="1523365" cy="517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9FC84D">
                            <w:pPr>
                              <w:rPr>
                                <w:rFonts w:hint="eastAsia" w:ascii="楷体" w:hAnsi="楷体" w:eastAsia="楷体" w:cs="楷体"/>
                                <w:sz w:val="30"/>
                                <w:szCs w:val="3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30"/>
                                <w:szCs w:val="30"/>
                                <w:lang w:eastAsia="zh-CN"/>
                              </w:rPr>
                              <w:t>附件</w:t>
                            </w:r>
                            <w:r>
                              <w:rPr>
                                <w:rFonts w:hint="eastAsia" w:ascii="楷体" w:hAnsi="楷体" w:eastAsia="楷体" w:cs="楷体"/>
                                <w:sz w:val="30"/>
                                <w:szCs w:val="30"/>
                                <w:lang w:val="en-US" w:eastAsia="zh-CN"/>
                              </w:rPr>
                              <w:t>1：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8.6pt;margin-top:-23.4pt;height:40.75pt;width:119.95pt;z-index:251659264;mso-width-relative:page;mso-height-relative:page;" fillcolor="#FFFFFF [3201]" filled="t" stroked="f" coordsize="21600,21600" o:gfxdata="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cvAmUNYAAAAK&#10;AQAADwAAAAAAAAABACAAAAAiAAAAZHJzL2Rvd25yZXYueG1sUEsBAhQAFAAAAAgAh07iQEe/k8dX&#10;AgAAmgQAAA4AAAAAAAAAAQAgAAAAJQEAAGRycy9lMm9Eb2MueG1sUEsFBgAAAAAGAAYAWQEAAO4F&#10;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49FC84D">
                      <w:pPr>
                        <w:rPr>
                          <w:rFonts w:hint="eastAsia" w:ascii="楷体" w:hAnsi="楷体" w:eastAsia="楷体" w:cs="楷体"/>
                          <w:sz w:val="30"/>
                          <w:szCs w:val="30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30"/>
                          <w:szCs w:val="30"/>
                          <w:lang w:eastAsia="zh-CN"/>
                        </w:rPr>
                        <w:t>附件</w:t>
                      </w:r>
                      <w:r>
                        <w:rPr>
                          <w:rFonts w:hint="eastAsia" w:ascii="楷体" w:hAnsi="楷体" w:eastAsia="楷体" w:cs="楷体"/>
                          <w:sz w:val="30"/>
                          <w:szCs w:val="30"/>
                          <w:lang w:val="en-US" w:eastAsia="zh-CN"/>
                        </w:rPr>
                        <w:t>1：</w:t>
                      </w:r>
                    </w:p>
                  </w:txbxContent>
                </v:textbox>
              </v:shape>
            </w:pict>
          </mc:Fallback>
        </mc:AlternateContent>
      </w:r>
    </w:p>
    <w:p w14:paraId="17C57912">
      <w:pPr>
        <w:pStyle w:val="17"/>
        <w:jc w:val="center"/>
        <w:rPr>
          <w:rFonts w:hint="eastAsia" w:ascii="仿宋" w:hAnsi="仿宋" w:eastAsia="仿宋" w:cs="方正小标宋简体"/>
          <w:b/>
          <w:bCs/>
          <w:kern w:val="0"/>
          <w:sz w:val="48"/>
          <w:szCs w:val="48"/>
        </w:rPr>
      </w:pPr>
      <w:r>
        <w:rPr>
          <w:rFonts w:hint="eastAsia" w:ascii="仿宋" w:hAnsi="仿宋" w:eastAsia="仿宋" w:cs="方正小标宋简体"/>
          <w:b/>
          <w:bCs/>
          <w:kern w:val="0"/>
          <w:sz w:val="48"/>
          <w:szCs w:val="48"/>
        </w:rPr>
        <w:t>202</w:t>
      </w:r>
      <w:r>
        <w:rPr>
          <w:rFonts w:hint="eastAsia" w:ascii="仿宋" w:hAnsi="仿宋" w:eastAsia="仿宋" w:cs="方正小标宋简体"/>
          <w:b/>
          <w:bCs/>
          <w:kern w:val="0"/>
          <w:sz w:val="48"/>
          <w:szCs w:val="48"/>
          <w:lang w:val="en-US" w:eastAsia="zh-CN"/>
        </w:rPr>
        <w:t>3</w:t>
      </w:r>
      <w:r>
        <w:rPr>
          <w:rFonts w:hint="eastAsia" w:ascii="仿宋" w:hAnsi="仿宋" w:eastAsia="仿宋" w:cs="方正小标宋简体"/>
          <w:b/>
          <w:bCs/>
          <w:kern w:val="0"/>
          <w:sz w:val="48"/>
          <w:szCs w:val="48"/>
        </w:rPr>
        <w:t>年度湖南怀化国家农业科技园区</w:t>
      </w:r>
    </w:p>
    <w:p w14:paraId="24CB23E8">
      <w:pPr>
        <w:pStyle w:val="17"/>
        <w:jc w:val="center"/>
        <w:rPr>
          <w:sz w:val="32"/>
          <w:szCs w:val="32"/>
        </w:rPr>
      </w:pPr>
      <w:r>
        <w:rPr>
          <w:rFonts w:hint="eastAsia" w:ascii="仿宋" w:hAnsi="仿宋" w:eastAsia="仿宋" w:cs="方正小标宋简体"/>
          <w:b/>
          <w:bCs/>
          <w:kern w:val="0"/>
          <w:sz w:val="48"/>
          <w:szCs w:val="48"/>
        </w:rPr>
        <w:t>管理委员会部门决算</w:t>
      </w:r>
    </w:p>
    <w:p w14:paraId="793AD4FB">
      <w:pPr>
        <w:pStyle w:val="17"/>
        <w:spacing w:line="500" w:lineRule="exact"/>
        <w:jc w:val="both"/>
        <w:rPr>
          <w:b/>
          <w:sz w:val="36"/>
          <w:szCs w:val="28"/>
        </w:rPr>
      </w:pPr>
    </w:p>
    <w:p w14:paraId="39CCB519">
      <w:pPr>
        <w:widowControl/>
        <w:spacing w:line="600" w:lineRule="exact"/>
        <w:ind w:firstLine="640" w:firstLineChars="200"/>
        <w:jc w:val="center"/>
        <w:rPr>
          <w:rFonts w:hint="eastAsia" w:ascii="黑体" w:hAnsi="黑体" w:eastAsia="黑体" w:cs="Times New Roman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</w:rPr>
        <w:t>目</w:t>
      </w: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</w:rPr>
        <w:t>录</w:t>
      </w:r>
    </w:p>
    <w:p w14:paraId="1D068CCE">
      <w:pPr>
        <w:widowControl/>
        <w:spacing w:line="600" w:lineRule="exact"/>
        <w:ind w:firstLine="640" w:firstLineChars="200"/>
        <w:jc w:val="left"/>
        <w:rPr>
          <w:rFonts w:hint="eastAsia" w:ascii="黑体" w:hAnsi="黑体" w:eastAsia="黑体" w:cs="Times New Roman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</w:rPr>
        <w:t>第一部分</w:t>
      </w: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</w:rPr>
        <w:t>湖南怀化国家农业科技园区管理委员会概况</w:t>
      </w:r>
    </w:p>
    <w:p w14:paraId="3C40C69D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一、部门职责</w:t>
      </w:r>
    </w:p>
    <w:p w14:paraId="6FFAD65F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二、机构设置</w:t>
      </w:r>
    </w:p>
    <w:p w14:paraId="5DD5EE13">
      <w:pPr>
        <w:widowControl/>
        <w:spacing w:line="600" w:lineRule="exact"/>
        <w:ind w:firstLine="640" w:firstLineChars="200"/>
        <w:jc w:val="left"/>
        <w:rPr>
          <w:rFonts w:hint="eastAsia" w:ascii="黑体" w:hAnsi="黑体" w:eastAsia="黑体" w:cs="Times New Roman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</w:rPr>
        <w:t>第二部分</w:t>
      </w: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</w:rPr>
        <w:t>部门决算表</w:t>
      </w:r>
    </w:p>
    <w:p w14:paraId="0214DED1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一、收入支出决算总表</w:t>
      </w:r>
    </w:p>
    <w:p w14:paraId="33EEBE14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二、收入决算表</w:t>
      </w:r>
    </w:p>
    <w:p w14:paraId="020D099C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三、支出决算表</w:t>
      </w:r>
    </w:p>
    <w:p w14:paraId="3855BAF2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四、财政拨款收入支出决算总表</w:t>
      </w:r>
    </w:p>
    <w:p w14:paraId="0DC40459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五、一般公共预算财政拨款支出决算表</w:t>
      </w:r>
    </w:p>
    <w:p w14:paraId="11C86E7B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六、一般公共预算财政拨款基本支出决算明细表</w:t>
      </w:r>
    </w:p>
    <w:p w14:paraId="3F5BFD01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七、政府性基金预算财政拨款收入支出决算表</w:t>
      </w:r>
    </w:p>
    <w:p w14:paraId="4A62A600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八、国有资本经营预算财政拨款支出决算表</w:t>
      </w:r>
    </w:p>
    <w:p w14:paraId="7E534261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九、财政拨款“三公”经费支出决算表</w:t>
      </w:r>
    </w:p>
    <w:p w14:paraId="7EDEFFCC">
      <w:pPr>
        <w:widowControl/>
        <w:spacing w:line="600" w:lineRule="exact"/>
        <w:ind w:firstLine="640" w:firstLineChars="200"/>
        <w:jc w:val="left"/>
        <w:rPr>
          <w:rFonts w:hint="eastAsia" w:ascii="黑体" w:hAnsi="黑体" w:eastAsia="黑体" w:cs="Times New Roman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</w:rPr>
        <w:t>第三部分</w:t>
      </w: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</w:rPr>
        <w:t>部门决算情况说明</w:t>
      </w:r>
    </w:p>
    <w:p w14:paraId="0162C8C8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一、收入支出决算总体情况说明</w:t>
      </w:r>
    </w:p>
    <w:p w14:paraId="0153C6BE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二、收入决算情况说明</w:t>
      </w:r>
    </w:p>
    <w:p w14:paraId="2AD2FE43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三、支出决算情况说明</w:t>
      </w:r>
    </w:p>
    <w:p w14:paraId="75D7924A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四、财政拨款收入支出决算总体情况说明</w:t>
      </w:r>
    </w:p>
    <w:p w14:paraId="4BB26B23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五、一般公共预算财政拨款支出决算情况说明</w:t>
      </w:r>
    </w:p>
    <w:p w14:paraId="117C41E8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六、一般公共预算财政拨款基本支出决算情况说明</w:t>
      </w:r>
    </w:p>
    <w:p w14:paraId="1E50A179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七、财政拨款三公经费支出决算情况说明</w:t>
      </w:r>
    </w:p>
    <w:p w14:paraId="2A8DEAAF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八、政府性基金预算收入支出决算情况</w:t>
      </w:r>
    </w:p>
    <w:p w14:paraId="39CF6206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九、</w:t>
      </w:r>
      <w:r>
        <w:rPr>
          <w:rFonts w:hint="eastAsia" w:ascii="仿宋" w:hAnsi="仿宋" w:eastAsia="仿宋" w:cs="仿宋"/>
          <w:sz w:val="32"/>
          <w:szCs w:val="32"/>
        </w:rPr>
        <w:t>国有资本经营预算收入支出决算情况</w:t>
      </w:r>
    </w:p>
    <w:p w14:paraId="6CCB867A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</w:t>
      </w:r>
      <w:r>
        <w:rPr>
          <w:rFonts w:hint="eastAsia" w:ascii="仿宋" w:hAnsi="仿宋" w:eastAsia="仿宋" w:cs="仿宋"/>
          <w:sz w:val="32"/>
          <w:szCs w:val="32"/>
        </w:rPr>
        <w:t>、关于机关运行经费支出说明</w:t>
      </w:r>
    </w:p>
    <w:p w14:paraId="3C42E13E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sz w:val="32"/>
          <w:szCs w:val="32"/>
        </w:rPr>
        <w:t>、一般性支出情况说明</w:t>
      </w:r>
    </w:p>
    <w:p w14:paraId="669A0EAA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sz w:val="32"/>
          <w:szCs w:val="32"/>
        </w:rPr>
        <w:t>、关于政府采购支出说明</w:t>
      </w:r>
    </w:p>
    <w:p w14:paraId="08C072BE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sz w:val="32"/>
          <w:szCs w:val="32"/>
        </w:rPr>
        <w:t>、关于国有资产占用情况说明</w:t>
      </w:r>
    </w:p>
    <w:p w14:paraId="62C2BC73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sz w:val="32"/>
          <w:szCs w:val="32"/>
        </w:rPr>
        <w:t>、关于</w:t>
      </w:r>
      <w:r>
        <w:rPr>
          <w:rFonts w:hint="default" w:ascii="仿宋" w:hAnsi="仿宋" w:eastAsia="仿宋" w:cs="仿宋"/>
          <w:sz w:val="32"/>
          <w:szCs w:val="32"/>
        </w:rPr>
        <w:t>202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年度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预算</w:t>
      </w:r>
      <w:r>
        <w:rPr>
          <w:rFonts w:hint="eastAsia" w:ascii="仿宋" w:hAnsi="仿宋" w:eastAsia="仿宋" w:cs="仿宋"/>
          <w:sz w:val="32"/>
          <w:szCs w:val="32"/>
        </w:rPr>
        <w:t>绩效情况的说明</w:t>
      </w:r>
    </w:p>
    <w:p w14:paraId="428DD0AF">
      <w:pPr>
        <w:widowControl/>
        <w:spacing w:line="600" w:lineRule="exact"/>
        <w:ind w:firstLine="640" w:firstLineChars="200"/>
        <w:jc w:val="left"/>
        <w:rPr>
          <w:rFonts w:hint="eastAsia" w:ascii="黑体" w:hAnsi="黑体" w:eastAsia="黑体" w:cs="Times New Roman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</w:rPr>
        <w:t>第四部分</w:t>
      </w: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</w:rPr>
        <w:t>名词解释</w:t>
      </w:r>
    </w:p>
    <w:p w14:paraId="0DAED9F7">
      <w:pPr>
        <w:widowControl/>
        <w:spacing w:line="600" w:lineRule="exact"/>
        <w:ind w:firstLine="640" w:firstLineChars="200"/>
        <w:jc w:val="left"/>
        <w:rPr>
          <w:rFonts w:hint="eastAsia" w:ascii="黑体" w:hAnsi="黑体" w:eastAsia="黑体" w:cs="Times New Roman"/>
          <w:b/>
          <w:bCs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</w:rPr>
        <w:t>第</w:t>
      </w: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</w:rPr>
        <w:t>部分</w:t>
      </w: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  <w:lang w:eastAsia="zh-CN"/>
        </w:rPr>
        <w:t>附件</w:t>
      </w:r>
    </w:p>
    <w:p w14:paraId="56979516">
      <w:pPr>
        <w:widowControl/>
        <w:spacing w:line="600" w:lineRule="exact"/>
        <w:jc w:val="both"/>
        <w:rPr>
          <w:rFonts w:hint="eastAsia" w:ascii="方正小标宋_GBK" w:hAnsi="方正小标宋_GBK" w:eastAsia="方正小标宋_GBK" w:cs="方正小标宋_GBK"/>
          <w:sz w:val="72"/>
          <w:szCs w:val="72"/>
        </w:rPr>
      </w:pPr>
    </w:p>
    <w:p w14:paraId="70068FAA">
      <w:pPr>
        <w:widowControl/>
        <w:spacing w:line="600" w:lineRule="exact"/>
        <w:ind w:firstLine="880" w:firstLineChars="200"/>
        <w:jc w:val="center"/>
        <w:rPr>
          <w:rFonts w:hint="eastAsia" w:ascii="黑体" w:hAnsi="黑体" w:eastAsia="黑体" w:cs="Times New Roman"/>
          <w:kern w:val="0"/>
          <w:sz w:val="44"/>
          <w:szCs w:val="44"/>
        </w:rPr>
      </w:pPr>
      <w:r>
        <w:rPr>
          <w:rFonts w:hint="eastAsia" w:ascii="黑体" w:hAnsi="黑体" w:eastAsia="黑体" w:cs="Times New Roman"/>
          <w:kern w:val="0"/>
          <w:sz w:val="44"/>
          <w:szCs w:val="44"/>
        </w:rPr>
        <w:t xml:space="preserve">第一部分 </w:t>
      </w:r>
    </w:p>
    <w:p w14:paraId="4A945FA6">
      <w:pPr>
        <w:widowControl/>
        <w:spacing w:line="600" w:lineRule="exact"/>
        <w:ind w:firstLine="880" w:firstLineChars="200"/>
        <w:jc w:val="center"/>
        <w:rPr>
          <w:rFonts w:hint="eastAsia" w:ascii="黑体" w:hAnsi="黑体" w:eastAsia="黑体" w:cs="Times New Roman"/>
          <w:kern w:val="0"/>
          <w:sz w:val="44"/>
          <w:szCs w:val="44"/>
        </w:rPr>
      </w:pPr>
    </w:p>
    <w:p w14:paraId="4FCAE4F4">
      <w:pPr>
        <w:widowControl/>
        <w:spacing w:line="600" w:lineRule="exact"/>
        <w:ind w:firstLine="880" w:firstLineChars="200"/>
        <w:jc w:val="center"/>
        <w:rPr>
          <w:rFonts w:hint="eastAsia" w:ascii="黑体" w:hAnsi="黑体" w:eastAsia="黑体" w:cs="Times New Roman"/>
          <w:kern w:val="0"/>
          <w:sz w:val="44"/>
          <w:szCs w:val="44"/>
          <w:lang w:eastAsia="zh-CN"/>
        </w:rPr>
      </w:pPr>
      <w:r>
        <w:rPr>
          <w:rFonts w:hint="eastAsia" w:ascii="黑体" w:hAnsi="黑体" w:eastAsia="黑体" w:cs="Times New Roman"/>
          <w:kern w:val="0"/>
          <w:sz w:val="44"/>
          <w:szCs w:val="44"/>
          <w:lang w:eastAsia="zh-CN"/>
        </w:rPr>
        <w:t>湖南怀化国家农业科技园区</w:t>
      </w:r>
    </w:p>
    <w:p w14:paraId="73C183F9">
      <w:pPr>
        <w:widowControl/>
        <w:spacing w:line="600" w:lineRule="exact"/>
        <w:ind w:firstLine="880" w:firstLineChars="200"/>
        <w:jc w:val="center"/>
        <w:rPr>
          <w:rFonts w:hint="eastAsia" w:ascii="黑体" w:hAnsi="黑体" w:eastAsia="黑体" w:cs="Times New Roman"/>
          <w:kern w:val="0"/>
          <w:sz w:val="44"/>
          <w:szCs w:val="44"/>
        </w:rPr>
      </w:pPr>
      <w:r>
        <w:rPr>
          <w:rFonts w:hint="eastAsia" w:ascii="黑体" w:hAnsi="黑体" w:eastAsia="黑体" w:cs="Times New Roman"/>
          <w:kern w:val="0"/>
          <w:sz w:val="44"/>
          <w:szCs w:val="44"/>
          <w:lang w:eastAsia="zh-CN"/>
        </w:rPr>
        <w:t>管理委员会</w:t>
      </w:r>
      <w:r>
        <w:rPr>
          <w:rFonts w:hint="eastAsia" w:ascii="黑体" w:hAnsi="黑体" w:eastAsia="黑体" w:cs="Times New Roman"/>
          <w:kern w:val="0"/>
          <w:sz w:val="44"/>
          <w:szCs w:val="44"/>
        </w:rPr>
        <w:t>概况</w:t>
      </w:r>
    </w:p>
    <w:p w14:paraId="1D6452F6">
      <w:pPr>
        <w:widowControl/>
        <w:spacing w:line="600" w:lineRule="exact"/>
        <w:jc w:val="left"/>
        <w:rPr>
          <w:rFonts w:hint="eastAsia" w:ascii="黑体" w:hAnsi="黑体" w:eastAsia="黑体" w:cs="仿宋"/>
          <w:sz w:val="32"/>
          <w:szCs w:val="32"/>
        </w:rPr>
      </w:pPr>
    </w:p>
    <w:p w14:paraId="66C8560C">
      <w:pPr>
        <w:widowControl/>
        <w:spacing w:line="600" w:lineRule="exact"/>
        <w:ind w:firstLine="640" w:firstLineChars="200"/>
        <w:jc w:val="left"/>
        <w:rPr>
          <w:rFonts w:hint="eastAsia"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仿宋"/>
          <w:sz w:val="32"/>
          <w:szCs w:val="32"/>
        </w:rPr>
        <w:t>部门职责</w:t>
      </w:r>
    </w:p>
    <w:p w14:paraId="350CB9CE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（一）负责贯彻执行党和国家关于农业科技园区的方针政策、法律法规和决策部署。</w:t>
      </w:r>
    </w:p>
    <w:p w14:paraId="22BC13F8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（二）负责研究拟订和组织实施怀化农科园重大发展战略、发展规划和工作计划。</w:t>
      </w:r>
    </w:p>
    <w:p w14:paraId="7066905B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（三）按照怀化市国土空间总体规划和产业发展规划要求及相关权限，统筹建设发展空间布局；负责拟订怀化农科园产业布局、产业政策、项目准入标准等重要事项并组织实施。</w:t>
      </w:r>
    </w:p>
    <w:p w14:paraId="79EC0C04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（四）负责怀化农科园招商引资工作，组织对外经济技术合作与交流。负责怀化农科园基础设施、公用事业、重大项目等建设管理相关工作。</w:t>
      </w:r>
    </w:p>
    <w:p w14:paraId="606D6322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（五）负责怀化农科园优化营商环境工作，根据权限依法承担有关行政审批工作，履行行政审批服务职责。负责构建怀化农科园创新创业服务体系，协助企业做好人才引进和服务工作。</w:t>
      </w:r>
    </w:p>
    <w:p w14:paraId="02FE1EB5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（六）负责怀化农科园的科技创新和高新技术产业管理及服务，开展有关科技创新和高新技术产业政策研究，构建技术创新服务体系；指导区内企业建立现代化企业制度，推进高新技术产业化、国际化。</w:t>
      </w:r>
    </w:p>
    <w:p w14:paraId="3B36F151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（七）负责怀化农科园党的建设和“两新”组织党建工作。</w:t>
      </w:r>
    </w:p>
    <w:p w14:paraId="55238E26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（八）根据有关要求和职责分工，承担怀化农科园综合管理、统计、审计、信息、安全生产监督管理、生态环境保护、财政收支管理及国有资产管理等工作。</w:t>
      </w:r>
    </w:p>
    <w:p w14:paraId="6ABEDDCB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（九）行使市委、市人民政府授予的其他职权，承办市委、市政府和有关部门交办的其他事项。</w:t>
      </w:r>
    </w:p>
    <w:p w14:paraId="101AFB03">
      <w:pPr>
        <w:widowControl/>
        <w:spacing w:line="600" w:lineRule="exact"/>
        <w:rPr>
          <w:rFonts w:hint="eastAsia" w:ascii="黑体" w:hAnsi="黑体" w:eastAsia="黑体" w:cs="黑体"/>
          <w:b w:val="0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</w:rPr>
        <w:t>二、机构设置及决算单位构成</w:t>
      </w:r>
    </w:p>
    <w:p w14:paraId="1BFE1EC9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（一）内设机构设置。为湖南怀化国家农业科技园区管理委员会一级部门预算单位，内设机构包括：办公室（组织工作局）、科技与产业发展局（安全生产监督管理局）、招商合作局、开发建设局、财政局。怀化农科园党工委、管委会设置直属副科级公益一类非独立核算二级事业单位1个：湖南怀化国家农业科技园区创新创业服务中心（湖南怀化国家农业科技园区政务服务中心）</w:t>
      </w:r>
    </w:p>
    <w:p w14:paraId="7FF32FE2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（二）决算单位构成。湖南怀化国家农业科技园区管理委员会202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Times New Roman"/>
          <w:sz w:val="32"/>
          <w:szCs w:val="32"/>
        </w:rPr>
        <w:t>年部门决算汇总公开单位构成包括：湖南怀化国家农业科技园区管理委员会本级。</w:t>
      </w:r>
    </w:p>
    <w:p w14:paraId="343F1E7D">
      <w:pPr>
        <w:widowControl/>
        <w:spacing w:line="600" w:lineRule="exact"/>
        <w:jc w:val="left"/>
        <w:rPr>
          <w:rFonts w:hint="eastAsia" w:ascii="黑体" w:hAnsi="黑体" w:eastAsia="黑体" w:cs="Times New Roman"/>
          <w:kern w:val="0"/>
          <w:sz w:val="44"/>
          <w:szCs w:val="44"/>
        </w:rPr>
      </w:pPr>
    </w:p>
    <w:p w14:paraId="06A22D3F">
      <w:pPr>
        <w:pStyle w:val="2"/>
        <w:rPr>
          <w:rFonts w:hint="eastAsia"/>
        </w:rPr>
      </w:pPr>
    </w:p>
    <w:p w14:paraId="410BC47E">
      <w:pPr>
        <w:widowControl/>
        <w:spacing w:line="600" w:lineRule="exact"/>
        <w:ind w:firstLine="880" w:firstLineChars="200"/>
        <w:jc w:val="center"/>
        <w:rPr>
          <w:rFonts w:hint="eastAsia" w:ascii="黑体" w:hAnsi="黑体" w:eastAsia="黑体" w:cs="Times New Roman"/>
          <w:kern w:val="0"/>
          <w:sz w:val="44"/>
          <w:szCs w:val="44"/>
        </w:rPr>
      </w:pPr>
      <w:r>
        <w:rPr>
          <w:rFonts w:hint="eastAsia" w:ascii="黑体" w:hAnsi="黑体" w:eastAsia="黑体" w:cs="Times New Roman"/>
          <w:kern w:val="0"/>
          <w:sz w:val="44"/>
          <w:szCs w:val="44"/>
        </w:rPr>
        <w:t>第二部分</w:t>
      </w:r>
    </w:p>
    <w:p w14:paraId="3947E25D">
      <w:pPr>
        <w:widowControl/>
        <w:spacing w:line="600" w:lineRule="exact"/>
        <w:ind w:firstLine="880" w:firstLineChars="200"/>
        <w:jc w:val="center"/>
        <w:rPr>
          <w:rFonts w:hint="eastAsia" w:ascii="黑体" w:hAnsi="黑体" w:eastAsia="黑体" w:cs="Times New Roman"/>
          <w:kern w:val="0"/>
          <w:sz w:val="44"/>
          <w:szCs w:val="44"/>
        </w:rPr>
      </w:pPr>
    </w:p>
    <w:p w14:paraId="5B42EE97">
      <w:pPr>
        <w:widowControl/>
        <w:spacing w:line="600" w:lineRule="exact"/>
        <w:ind w:firstLine="880" w:firstLineChars="200"/>
        <w:jc w:val="center"/>
        <w:rPr>
          <w:rFonts w:hint="eastAsia" w:ascii="黑体" w:hAnsi="黑体" w:eastAsia="黑体" w:cs="Times New Roman"/>
          <w:kern w:val="0"/>
          <w:sz w:val="44"/>
          <w:szCs w:val="44"/>
        </w:rPr>
      </w:pPr>
      <w:r>
        <w:rPr>
          <w:rFonts w:hint="eastAsia" w:ascii="黑体" w:hAnsi="黑体" w:eastAsia="黑体" w:cs="Times New Roman"/>
          <w:kern w:val="0"/>
          <w:sz w:val="44"/>
          <w:szCs w:val="44"/>
        </w:rPr>
        <w:t>部门决算表</w:t>
      </w:r>
    </w:p>
    <w:p w14:paraId="6C013E8E">
      <w:pPr>
        <w:pStyle w:val="2"/>
        <w:ind w:left="0" w:leftChars="0" w:firstLine="0" w:firstLineChars="0"/>
        <w:jc w:val="center"/>
        <w:rPr>
          <w:rFonts w:hint="eastAsia"/>
          <w:sz w:val="28"/>
          <w:szCs w:val="32"/>
          <w:lang w:eastAsia="zh-CN"/>
        </w:rPr>
      </w:pPr>
      <w:r>
        <w:rPr>
          <w:rFonts w:hint="eastAsia"/>
          <w:sz w:val="28"/>
          <w:szCs w:val="32"/>
          <w:lang w:val="en-US" w:eastAsia="zh-CN"/>
        </w:rPr>
        <w:t xml:space="preserve">  </w:t>
      </w:r>
      <w:r>
        <w:rPr>
          <w:rFonts w:hint="eastAsia"/>
          <w:sz w:val="28"/>
          <w:szCs w:val="32"/>
          <w:lang w:eastAsia="zh-CN"/>
        </w:rPr>
        <w:t>（</w:t>
      </w:r>
      <w:r>
        <w:rPr>
          <w:rFonts w:hint="eastAsia"/>
          <w:sz w:val="28"/>
          <w:szCs w:val="32"/>
          <w:lang w:val="en-US" w:eastAsia="zh-CN"/>
        </w:rPr>
        <w:t>详见附件1：公开附件</w:t>
      </w:r>
      <w:r>
        <w:rPr>
          <w:rFonts w:hint="eastAsia"/>
          <w:sz w:val="28"/>
          <w:szCs w:val="32"/>
          <w:lang w:eastAsia="zh-CN"/>
        </w:rPr>
        <w:t>）</w:t>
      </w:r>
    </w:p>
    <w:p w14:paraId="264D4B07">
      <w:pPr>
        <w:widowControl/>
        <w:spacing w:line="600" w:lineRule="exact"/>
        <w:ind w:firstLine="3520" w:firstLineChars="800"/>
        <w:jc w:val="both"/>
        <w:rPr>
          <w:rFonts w:hint="eastAsia" w:ascii="黑体" w:hAnsi="黑体" w:eastAsia="黑体" w:cs="Times New Roman"/>
          <w:kern w:val="0"/>
          <w:sz w:val="44"/>
          <w:szCs w:val="44"/>
        </w:rPr>
      </w:pPr>
    </w:p>
    <w:p w14:paraId="12E28785">
      <w:pPr>
        <w:pStyle w:val="2"/>
        <w:rPr>
          <w:rFonts w:hint="eastAsia"/>
        </w:rPr>
      </w:pPr>
    </w:p>
    <w:p w14:paraId="16A3E6F5">
      <w:pPr>
        <w:widowControl/>
        <w:spacing w:line="600" w:lineRule="exact"/>
        <w:ind w:firstLine="880" w:firstLineChars="200"/>
        <w:jc w:val="center"/>
        <w:rPr>
          <w:rFonts w:hint="eastAsia" w:ascii="黑体" w:hAnsi="黑体" w:eastAsia="黑体" w:cs="Times New Roman"/>
          <w:kern w:val="0"/>
          <w:sz w:val="44"/>
          <w:szCs w:val="44"/>
        </w:rPr>
      </w:pPr>
      <w:r>
        <w:rPr>
          <w:rFonts w:hint="eastAsia" w:ascii="黑体" w:hAnsi="黑体" w:eastAsia="黑体" w:cs="Times New Roman"/>
          <w:kern w:val="0"/>
          <w:sz w:val="44"/>
          <w:szCs w:val="44"/>
        </w:rPr>
        <w:t>第三部分</w:t>
      </w:r>
    </w:p>
    <w:p w14:paraId="44CAAA3A">
      <w:pPr>
        <w:widowControl/>
        <w:spacing w:line="600" w:lineRule="exact"/>
        <w:ind w:firstLine="880" w:firstLineChars="200"/>
        <w:jc w:val="center"/>
        <w:rPr>
          <w:rFonts w:hint="eastAsia" w:ascii="黑体" w:hAnsi="黑体" w:eastAsia="黑体" w:cs="Times New Roman"/>
          <w:kern w:val="0"/>
          <w:sz w:val="44"/>
          <w:szCs w:val="44"/>
        </w:rPr>
      </w:pPr>
    </w:p>
    <w:p w14:paraId="0451D323">
      <w:pPr>
        <w:widowControl/>
        <w:spacing w:line="600" w:lineRule="exact"/>
        <w:ind w:firstLine="880" w:firstLineChars="200"/>
        <w:jc w:val="center"/>
        <w:rPr>
          <w:rFonts w:hint="eastAsia" w:ascii="黑体" w:hAnsi="黑体" w:eastAsia="黑体" w:cs="Times New Roman"/>
          <w:kern w:val="0"/>
          <w:sz w:val="44"/>
          <w:szCs w:val="44"/>
        </w:rPr>
      </w:pPr>
      <w:r>
        <w:rPr>
          <w:rFonts w:hint="eastAsia" w:ascii="黑体" w:hAnsi="黑体" w:eastAsia="黑体" w:cs="Times New Roman"/>
          <w:kern w:val="0"/>
          <w:sz w:val="44"/>
          <w:szCs w:val="44"/>
        </w:rPr>
        <w:t>202</w:t>
      </w:r>
      <w:r>
        <w:rPr>
          <w:rFonts w:hint="eastAsia" w:ascii="黑体" w:hAnsi="黑体" w:eastAsia="黑体" w:cs="Times New Roman"/>
          <w:kern w:val="0"/>
          <w:sz w:val="44"/>
          <w:szCs w:val="44"/>
          <w:lang w:val="en-US" w:eastAsia="zh-CN"/>
        </w:rPr>
        <w:t>3</w:t>
      </w:r>
      <w:r>
        <w:rPr>
          <w:rFonts w:hint="eastAsia" w:ascii="黑体" w:hAnsi="黑体" w:eastAsia="黑体" w:cs="Times New Roman"/>
          <w:kern w:val="0"/>
          <w:sz w:val="44"/>
          <w:szCs w:val="44"/>
        </w:rPr>
        <w:t>年度部门决算情况说明</w:t>
      </w:r>
    </w:p>
    <w:p w14:paraId="0D2916AF">
      <w:pPr>
        <w:widowControl/>
        <w:spacing w:line="600" w:lineRule="exact"/>
        <w:ind w:firstLine="640" w:firstLineChars="200"/>
        <w:jc w:val="left"/>
        <w:rPr>
          <w:rFonts w:hint="eastAsia"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一、收入支出决算总体情况说明</w:t>
      </w:r>
    </w:p>
    <w:p w14:paraId="1DF003A6">
      <w:pPr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202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年度收、支总计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374.03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万元。与上年相比，增加157.1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万元，增长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42.01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%，主要是因为人员增加以及正常晋级，新增人员经费7.68万元；支付园区总体规划编制第一、第二笔经费共计64.67万元；支付乡村振兴项目资金4.5万元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；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支付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人才引进以及招聘（选调）考试费12.62万元；完成“五溪智汇”人才项目2021-2022年度工作补助经费42万元的支付。</w:t>
      </w:r>
    </w:p>
    <w:p w14:paraId="63486EAF">
      <w:pPr>
        <w:widowControl/>
        <w:spacing w:line="600" w:lineRule="exact"/>
        <w:ind w:firstLine="640" w:firstLineChars="200"/>
        <w:jc w:val="left"/>
        <w:rPr>
          <w:rFonts w:hint="eastAsia"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二、收入决算情况说明</w:t>
      </w:r>
    </w:p>
    <w:p w14:paraId="4F936D19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2023年度收入合计374.03万元，其中：财政拨款收入374.03万元，占100%；上级补助收入0万元，占0%；事业收入0万元，占0%；经营收入0万元，占0%；附属单位上缴收入0万元，占0%；其他收入0万元，占0%。</w:t>
      </w:r>
    </w:p>
    <w:p w14:paraId="0A5274C8">
      <w:pPr>
        <w:widowControl/>
        <w:spacing w:line="600" w:lineRule="exact"/>
        <w:ind w:firstLine="640" w:firstLineChars="200"/>
        <w:jc w:val="left"/>
        <w:rPr>
          <w:rFonts w:hint="eastAsia"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三、支出决算情况说明</w:t>
      </w:r>
    </w:p>
    <w:p w14:paraId="39111059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2023年度支出合计374.03万元，其中：基本支出344.03万元，占91.98%；项目支出30万元，占8.02%；上级补助收入0万元，占0%；事业收入0万元，占0%；经营收入0万元，占0%；附属单位上缴收入0万元，占0%；其他收入0万元，占0%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 w14:paraId="162A85CE">
      <w:pPr>
        <w:widowControl/>
        <w:spacing w:line="600" w:lineRule="exact"/>
        <w:ind w:firstLine="640" w:firstLineChars="200"/>
        <w:jc w:val="left"/>
        <w:rPr>
          <w:rFonts w:hint="eastAsia"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四、财政拨款收入支出决算总体情况说明</w:t>
      </w:r>
    </w:p>
    <w:p w14:paraId="0706FF49">
      <w:pPr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202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年度财政拨款收、支总计374.0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万元。与上年相比，增加157.1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万元，增长42.01%，主要是因为人员增加以及正常晋级，新增人员经费7.68万元；支付园区总体规划编制第一、第二笔经费共计64.67万元；支付乡村振兴项目资金4.5万元；支付人才引进以及招聘（选调）考试费12.62万元；完成“五溪智汇”人才项目2021-2022年度工作补助经费42万元的支付。</w:t>
      </w:r>
    </w:p>
    <w:p w14:paraId="19483478">
      <w:pPr>
        <w:widowControl/>
        <w:spacing w:line="600" w:lineRule="exact"/>
        <w:ind w:firstLine="640" w:firstLineChars="200"/>
        <w:jc w:val="left"/>
        <w:rPr>
          <w:rFonts w:hint="eastAsia"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五、一般公共预算财政拨款支出决算情况说明</w:t>
      </w:r>
    </w:p>
    <w:p w14:paraId="463AD6B8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（一）一般公共预算财政拨款支出决算总体情况</w:t>
      </w:r>
    </w:p>
    <w:p w14:paraId="4318B843">
      <w:pPr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202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年度财政拨款支出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374.03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万元，占本年支出合计的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100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%，与上年相比，财政拨款支出增加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157.13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万元，增长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42.01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%，主要是因为人员增加以及正常晋级，新增人员经费7.68万元；支付园区总体规划编制第一、第二笔经费共计64.67万元；支付乡村振兴项目资金4.5万元；支付人才引进以及招聘（选调）考试费12.62万元；完成“五溪智汇”人才项目2021-2022年度工作补助经费42万元的支付。</w:t>
      </w:r>
    </w:p>
    <w:p w14:paraId="51811195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（二）一般公共预算财政拨款支出决算结构情况</w:t>
      </w:r>
    </w:p>
    <w:p w14:paraId="7A2E7D6B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2023年度财政拨款支出374.03万元，主要用于以下方面：农林水支出（类）支出347.99万元，占93.04%；社会保障和就业（类）支出18.72万元，占5%;卫生健康（类）支出7.32万元，占1.96%。</w:t>
      </w:r>
    </w:p>
    <w:p w14:paraId="7381DF1E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（三）一般公共预算财政拨款支出决算具体情况</w:t>
      </w:r>
    </w:p>
    <w:p w14:paraId="2510C7D3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2023年度财政拨款支出年初预算数为187.40万元，支出决算数为374.03万元，完成年初预算的199.59%，其中：</w:t>
      </w:r>
    </w:p>
    <w:p w14:paraId="008EE59B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Times New Roman"/>
          <w:b/>
          <w:bCs/>
          <w:sz w:val="32"/>
          <w:szCs w:val="32"/>
          <w:highlight w:val="none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  <w:highlight w:val="none"/>
        </w:rPr>
        <w:t>1.农林水支出（类）农业农村（款）行政运行（项）。</w:t>
      </w:r>
    </w:p>
    <w:p w14:paraId="161302AD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年初预算为159.53万元，支出决算为347.99万元，完成年初预算的218.13%，决算数大于年初预算数的主要原因是：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highlight w:val="none"/>
          <w:lang w:val="en-US" w:eastAsia="zh-CN" w:bidi="ar-SA"/>
        </w:rPr>
        <w:t>主要是因为人员增加以及正常晋级，新增人员经费7.68万元；支付园区总体规划编制第一、第二笔经费共计64.67万元；支付乡村振兴项目资金4.5万元；支付人才引进以及招聘（选调）考试费12.62万元；完成“五溪智汇”人才项目2021-2022年度工作补助经费42万元的支付。</w:t>
      </w:r>
    </w:p>
    <w:p w14:paraId="63D25415">
      <w:pPr>
        <w:spacing w:line="600" w:lineRule="exact"/>
        <w:ind w:firstLine="640" w:firstLineChars="200"/>
        <w:rPr>
          <w:rFonts w:hint="eastAsia" w:ascii="仿宋" w:hAnsi="仿宋" w:eastAsia="仿宋" w:cs="Times New Roman"/>
          <w:b/>
          <w:bCs/>
          <w:sz w:val="32"/>
          <w:szCs w:val="32"/>
          <w:highlight w:val="none"/>
        </w:rPr>
      </w:pPr>
      <w:r>
        <w:rPr>
          <w:rFonts w:hint="eastAsia" w:ascii="仿宋" w:hAnsi="仿宋" w:eastAsia="仿宋" w:cs="Times New Roman"/>
          <w:b/>
          <w:bCs/>
          <w:color w:val="000000"/>
          <w:kern w:val="0"/>
          <w:sz w:val="32"/>
          <w:szCs w:val="32"/>
          <w:highlight w:val="none"/>
          <w:lang w:val="en-US" w:eastAsia="zh-CN" w:bidi="ar-SA"/>
        </w:rPr>
        <w:t>2、社会保障和就业（类）行政事业单位养老支出（款）机关事业单位基本养老保险缴费支出（项）。</w:t>
      </w:r>
    </w:p>
    <w:p w14:paraId="1D796ED2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年初预算为19.72万元，支出决算为18.72万元，完成年初预算的94.93%，决算数小于年初预算数的主要原因是：本年度因我单位正常人员变动，使得行政事业单位基本养老保险缴费支出决算数小于预算数。</w:t>
      </w:r>
    </w:p>
    <w:p w14:paraId="7B125B9E">
      <w:pPr>
        <w:spacing w:line="600" w:lineRule="exact"/>
        <w:ind w:firstLine="640" w:firstLineChars="200"/>
        <w:rPr>
          <w:rFonts w:hint="eastAsia" w:ascii="仿宋" w:hAnsi="仿宋" w:eastAsia="仿宋" w:cs="Times New Roman"/>
          <w:b/>
          <w:bCs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Times New Roman"/>
          <w:b/>
          <w:bCs/>
          <w:color w:val="000000"/>
          <w:kern w:val="0"/>
          <w:sz w:val="32"/>
          <w:szCs w:val="32"/>
          <w:highlight w:val="none"/>
          <w:lang w:val="en-US" w:eastAsia="zh-CN" w:bidi="ar-SA"/>
        </w:rPr>
        <w:t>3、卫生健康（类）行政事业单位医疗（款）其他行政事业单位医疗支出（项）。</w:t>
      </w:r>
    </w:p>
    <w:p w14:paraId="42376F11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年初预算为8.15万元，支出决算为7.32万元，完成年初预算的89.82%，决算数小于年初预算数的主要原因是：本年度因我单位正常人员变动，使得其他行政事业单位医疗支出决算数小于预算数。</w:t>
      </w:r>
    </w:p>
    <w:p w14:paraId="01D547BF">
      <w:pPr>
        <w:widowControl/>
        <w:spacing w:line="600" w:lineRule="exact"/>
        <w:ind w:firstLine="640" w:firstLineChars="200"/>
        <w:jc w:val="left"/>
        <w:rPr>
          <w:rFonts w:hint="eastAsia"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六、一般公共预算财政拨款基本支出决算情况说明</w:t>
      </w:r>
    </w:p>
    <w:p w14:paraId="72293627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2023年度财政拨款基本支出344.03万元，其中：</w:t>
      </w:r>
    </w:p>
    <w:p w14:paraId="63CAA708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  <w:t>人员经费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165.59万元，占基本支出的48.13%,主要包括基本工资、津贴补贴、基本养老保险缴费、基本医疗保险缴费、其他社会保障缴费等；</w:t>
      </w: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  <w:t>公用经费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178.44万元，占基本支出的51.87%，主要包括办公费、印刷费、咨询费、手续费、差旅费、培训费、其他交通费用、其他商品和服务支出等、费用补贴等。</w:t>
      </w:r>
    </w:p>
    <w:p w14:paraId="71D6BCD6">
      <w:pPr>
        <w:pStyle w:val="17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仿宋"/>
          <w:color w:val="auto"/>
          <w:kern w:val="2"/>
          <w:sz w:val="32"/>
          <w:szCs w:val="32"/>
          <w:lang w:val="en-US" w:eastAsia="zh-CN" w:bidi="ar-SA"/>
        </w:rPr>
        <w:t>财政拨款三公经费支出决算情况说明</w:t>
      </w:r>
    </w:p>
    <w:p w14:paraId="679220CF"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  <w:t>（一）“三公”经费财政拨款支出决算总体情况说明</w:t>
      </w:r>
    </w:p>
    <w:p w14:paraId="11ABDB9B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“三公”经费财政拨款支出预算控制数为0万元，支出决算为0.18万元，完成预算的180%，其中：</w:t>
      </w:r>
    </w:p>
    <w:p w14:paraId="5F63D0D5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1、因公出国（境）费支出预算控制数为0万元，支出决算为0万元，决算数与年初预算数持平，主要原因按预算执行，与上年数持平，主要原因本年度未安排因公出国（境）。</w:t>
      </w:r>
    </w:p>
    <w:p w14:paraId="5D1A8650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2、公务接待费支出预算控制数为0万元，支出决算为0.18万元，完成预算的180%，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highlight w:val="none"/>
          <w:lang w:val="en-US" w:eastAsia="zh-CN" w:bidi="ar-SA"/>
        </w:rPr>
        <w:t>主要原因是单位开展招商引资活动，公务接待费增加。</w:t>
      </w:r>
    </w:p>
    <w:p w14:paraId="42CCB021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3、公务用车购置费及运行维护费支出预算控制数为0万元，支出决算为0万元，决算数与年初预算数持平主要原因按预算执行，与上年数持平，主要原因是厉行节约，减少开支。</w:t>
      </w:r>
    </w:p>
    <w:p w14:paraId="01F5E1E6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  <w:t>（二）“三公”经费财政拨款支出决算具体情况说明</w:t>
      </w:r>
    </w:p>
    <w:p w14:paraId="660E4D5D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2023年度“三公”经费财政拨款支出决算中，公务接待费支出决算0.18万元，占100%,因公出国（境）费支出决算0万元，占0%,公务用车购置费及运行维护费支出决算0万元，占0%。其中：</w:t>
      </w:r>
    </w:p>
    <w:p w14:paraId="313299F1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1、因公出国（境）费支出决算为0万元，全年安排因公出国（境）团组0个，累计0人次。</w:t>
      </w:r>
    </w:p>
    <w:p w14:paraId="1ADE0CFB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2、公务接待费支出决算为0.18万元，全年共接待来访团组1个、来宾13人次。</w:t>
      </w:r>
    </w:p>
    <w:p w14:paraId="6292F252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3、公务用车购置费及运行维护费支出决算为0万元，其中：公务用车购置费0万元，更新公务用车0辆。公务用车运行维护费0万元。截止2023年12月31日，我单位开支财政拨款的公务用车保有量为0辆。</w:t>
      </w:r>
    </w:p>
    <w:p w14:paraId="575045F7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八、政府性基金预算收入支出决算情况</w:t>
      </w:r>
    </w:p>
    <w:p w14:paraId="53F732C5">
      <w:pPr>
        <w:pStyle w:val="17"/>
        <w:keepNext w:val="0"/>
        <w:keepLines w:val="0"/>
        <w:pageBreakBefore w:val="0"/>
        <w:widowControl w:val="0"/>
        <w:tabs>
          <w:tab w:val="center" w:pos="4513"/>
        </w:tabs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本单位无政府性基金收支。</w:t>
      </w:r>
    </w:p>
    <w:p w14:paraId="4671BD65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九、国有资本经营预算收入支出决算情况</w:t>
      </w:r>
    </w:p>
    <w:p w14:paraId="7D3D0B27">
      <w:pPr>
        <w:pStyle w:val="17"/>
        <w:keepNext w:val="0"/>
        <w:keepLines w:val="0"/>
        <w:pageBreakBefore w:val="0"/>
        <w:widowControl w:val="0"/>
        <w:tabs>
          <w:tab w:val="center" w:pos="4513"/>
        </w:tabs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本单位无国有资本经营收支。</w:t>
      </w:r>
    </w:p>
    <w:p w14:paraId="287F00B3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十、关于机关运行经费支出说明</w:t>
      </w:r>
    </w:p>
    <w:p w14:paraId="607E4552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本部门2023年度机关运行经费支出0万元，我单位为公益一类事业单位，不属于行政单位和参照公务员法管理事业单位，故无机关运行经费支出。</w:t>
      </w:r>
    </w:p>
    <w:p w14:paraId="1B11216B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十一、一般性支出情况说明</w:t>
      </w:r>
    </w:p>
    <w:p w14:paraId="4586EC3A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2023年本部门开支会议费0万元，未召开会议；开支培训费0.48万元，用于2023年度事业单位线上学习培训，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highlight w:val="none"/>
          <w:lang w:val="en-US" w:eastAsia="zh-CN" w:bidi="ar-SA"/>
        </w:rPr>
        <w:t>人数16人，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内容为公共科目以及专业科目。公共科目培训主题为习近平新时代中国特色社会主义思想，专业科目培训主题由各事业单位结合自身工作自行确定；2023年本部门未举办节庆、晚会、论坛、赛事等活动。</w:t>
      </w:r>
    </w:p>
    <w:p w14:paraId="20322ECA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十二、关于政府采购支出说明</w:t>
      </w:r>
    </w:p>
    <w:p w14:paraId="6A230495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本部门2023年度政府采购支出总额178.44万元，其中：政府采购货物支出101.26万元、政府采购工程支出0万元、政府采购服务支出77.28万元。授予中小企业合同金额178.44万元，占政府采购支出总额的100%，其中：授予小微企业合同金额0万元，占授予中小企业合同金额的0%。</w:t>
      </w:r>
    </w:p>
    <w:p w14:paraId="16A04025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十</w:t>
      </w:r>
      <w:r>
        <w:rPr>
          <w:rFonts w:hint="eastAsia" w:hAnsi="黑体" w:cs="黑体"/>
          <w:b w:val="0"/>
          <w:bCs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、关于国有资产占用情况说明</w:t>
      </w:r>
    </w:p>
    <w:p w14:paraId="377C4CEE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截至2023年12月31日，本单位共有车辆0辆，其中，主要领导干部用车0辆，机要通信用车0辆、应急保障用车0辆、执法执勤用车0辆、特种专业技术用车0辆、其他用车0辆；单位价值50万元以上通用设备0台（套）；单位价值100万元以上专用设备0台（套）。</w:t>
      </w:r>
    </w:p>
    <w:p w14:paraId="46945E97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十</w:t>
      </w:r>
      <w:r>
        <w:rPr>
          <w:rFonts w:hint="eastAsia" w:hAnsi="黑体" w:cs="黑体"/>
          <w:b w:val="0"/>
          <w:bCs/>
          <w:color w:val="auto"/>
          <w:sz w:val="32"/>
          <w:szCs w:val="32"/>
          <w:lang w:val="en-US" w:eastAsia="zh-CN"/>
        </w:rPr>
        <w:t>四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、关于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年度</w:t>
      </w:r>
      <w:r>
        <w:rPr>
          <w:rFonts w:hint="eastAsia" w:hAnsi="黑体" w:cs="黑体"/>
          <w:b w:val="0"/>
          <w:bCs/>
          <w:color w:val="auto"/>
          <w:sz w:val="32"/>
          <w:szCs w:val="32"/>
          <w:lang w:eastAsia="zh-CN"/>
        </w:rPr>
        <w:t>预算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绩效情况的说明</w:t>
      </w:r>
    </w:p>
    <w:p w14:paraId="3F1DC442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（一）绩效管理工作开展情况</w:t>
      </w:r>
    </w:p>
    <w:p w14:paraId="6406CC6F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80" w:firstLineChars="200"/>
        <w:textAlignment w:val="auto"/>
        <w:rPr>
          <w:rFonts w:hint="default" w:ascii="仿宋" w:hAnsi="仿宋" w:eastAsia="仿宋" w:cs="仿宋"/>
          <w:spacing w:val="1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highlight w:val="none"/>
          <w:lang w:val="zh-TW" w:eastAsia="zh-CN"/>
        </w:rPr>
        <w:t>本单位积极开展预算绩效管理工作，设定</w:t>
      </w:r>
      <w:r>
        <w:rPr>
          <w:rFonts w:hint="eastAsia" w:ascii="仿宋" w:hAnsi="仿宋" w:eastAsia="仿宋" w:cs="仿宋"/>
          <w:spacing w:val="10"/>
          <w:sz w:val="32"/>
          <w:szCs w:val="32"/>
          <w:highlight w:val="none"/>
          <w:lang w:val="en-US" w:eastAsia="zh-CN"/>
        </w:rPr>
        <w:t>了</w:t>
      </w:r>
      <w:r>
        <w:rPr>
          <w:rFonts w:hint="eastAsia" w:ascii="仿宋" w:hAnsi="仿宋" w:eastAsia="仿宋" w:cs="仿宋"/>
          <w:spacing w:val="10"/>
          <w:sz w:val="32"/>
          <w:szCs w:val="32"/>
          <w:highlight w:val="none"/>
          <w:lang w:val="zh-TW" w:eastAsia="zh-CN"/>
        </w:rPr>
        <w:t>绩效目标，根据市财政绩效科要求开展了预算部门绩效自评工作，对2023年部门整体运行及支出情况进行了自查自评，</w:t>
      </w:r>
      <w:r>
        <w:rPr>
          <w:rFonts w:hint="eastAsia" w:ascii="仿宋" w:hAnsi="仿宋" w:eastAsia="仿宋" w:cs="仿宋"/>
          <w:spacing w:val="10"/>
          <w:sz w:val="32"/>
          <w:szCs w:val="32"/>
          <w:highlight w:val="none"/>
          <w:lang w:val="en-US" w:eastAsia="zh-CN"/>
        </w:rPr>
        <w:t>部门整体支出绩效评价报告见附件2。</w:t>
      </w:r>
    </w:p>
    <w:p w14:paraId="4DF11ABC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存在的问题及原因分析</w:t>
      </w:r>
    </w:p>
    <w:p w14:paraId="619FA85A">
      <w:pPr>
        <w:spacing w:line="560" w:lineRule="exact"/>
        <w:ind w:firstLine="680" w:firstLineChars="200"/>
        <w:rPr>
          <w:rFonts w:hint="eastAsia" w:ascii="仿宋" w:hAnsi="仿宋" w:eastAsia="仿宋" w:cs="仿宋"/>
          <w:spacing w:val="10"/>
          <w:sz w:val="32"/>
          <w:szCs w:val="32"/>
          <w:highlight w:val="none"/>
          <w:lang w:val="zh-TW" w:eastAsia="zh-TW"/>
        </w:rPr>
      </w:pPr>
      <w:r>
        <w:rPr>
          <w:rFonts w:hint="eastAsia" w:ascii="仿宋" w:hAnsi="仿宋" w:eastAsia="仿宋" w:cs="仿宋"/>
          <w:spacing w:val="10"/>
          <w:sz w:val="32"/>
          <w:szCs w:val="32"/>
          <w:highlight w:val="none"/>
          <w:lang w:val="zh-TW" w:eastAsia="zh-TW"/>
        </w:rPr>
        <w:t>预算绩效管理工作有待加强。虽然开展了预算绩效管理工作，但仍存在一些不足：一是绩效目标编制不规范。目标设立不够明确、细化、量化，使用定性指标较多，数量指标较少，部门整体支出自评质量也不高。二是绩效管理理念有待进一步增强。</w:t>
      </w:r>
    </w:p>
    <w:p w14:paraId="6C745D34">
      <w:pPr>
        <w:pStyle w:val="17"/>
        <w:jc w:val="center"/>
        <w:rPr>
          <w:sz w:val="72"/>
          <w:szCs w:val="72"/>
        </w:rPr>
      </w:pPr>
    </w:p>
    <w:p w14:paraId="18F5E238">
      <w:pPr>
        <w:widowControl/>
        <w:spacing w:line="600" w:lineRule="exact"/>
        <w:ind w:firstLine="880" w:firstLineChars="200"/>
        <w:jc w:val="center"/>
        <w:rPr>
          <w:rFonts w:hint="eastAsia" w:ascii="黑体" w:hAnsi="黑体" w:eastAsia="黑体" w:cs="Times New Roman"/>
          <w:kern w:val="0"/>
          <w:sz w:val="44"/>
          <w:szCs w:val="44"/>
        </w:rPr>
      </w:pPr>
      <w:r>
        <w:rPr>
          <w:rFonts w:hint="eastAsia" w:ascii="黑体" w:hAnsi="黑体" w:eastAsia="黑体" w:cs="Times New Roman"/>
          <w:kern w:val="0"/>
          <w:sz w:val="44"/>
          <w:szCs w:val="44"/>
        </w:rPr>
        <w:t>第四部分</w:t>
      </w:r>
    </w:p>
    <w:p w14:paraId="5833E670">
      <w:pPr>
        <w:pStyle w:val="2"/>
        <w:rPr>
          <w:rFonts w:hint="eastAsia"/>
        </w:rPr>
      </w:pPr>
    </w:p>
    <w:p w14:paraId="5DCFD1DB">
      <w:pPr>
        <w:widowControl/>
        <w:spacing w:line="600" w:lineRule="exact"/>
        <w:ind w:firstLine="880" w:firstLineChars="200"/>
        <w:jc w:val="center"/>
        <w:rPr>
          <w:rFonts w:hint="eastAsia" w:ascii="黑体" w:hAnsi="黑体" w:eastAsia="黑体" w:cs="Times New Roman"/>
          <w:kern w:val="0"/>
          <w:sz w:val="44"/>
          <w:szCs w:val="44"/>
        </w:rPr>
      </w:pPr>
      <w:r>
        <w:rPr>
          <w:rFonts w:hint="eastAsia" w:ascii="黑体" w:hAnsi="黑体" w:eastAsia="黑体" w:cs="Times New Roman"/>
          <w:kern w:val="0"/>
          <w:sz w:val="44"/>
          <w:szCs w:val="44"/>
        </w:rPr>
        <w:t>名词解释</w:t>
      </w:r>
    </w:p>
    <w:p w14:paraId="27D7FDDC">
      <w:pPr>
        <w:pStyle w:val="17"/>
        <w:jc w:val="center"/>
        <w:rPr>
          <w:rFonts w:hint="eastAsia" w:ascii="黑体" w:hAnsi="黑体" w:eastAsia="黑体" w:cs="黑体"/>
          <w:sz w:val="32"/>
          <w:szCs w:val="32"/>
        </w:rPr>
      </w:pPr>
    </w:p>
    <w:p w14:paraId="291B3FC9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pacing w:val="10"/>
          <w:kern w:val="2"/>
          <w:sz w:val="32"/>
          <w:szCs w:val="32"/>
          <w:lang w:val="zh-TW" w:eastAsia="zh-TW" w:bidi="ar-SA"/>
        </w:rPr>
      </w:pPr>
      <w:r>
        <w:rPr>
          <w:rFonts w:hint="eastAsia" w:cs="黑体" w:asciiTheme="minorEastAsia" w:hAnsiTheme="minorEastAsia"/>
          <w:color w:val="000000"/>
          <w:kern w:val="0"/>
          <w:sz w:val="32"/>
          <w:szCs w:val="32"/>
        </w:rPr>
        <w:t>一、机关运行经费：</w:t>
      </w:r>
      <w:r>
        <w:rPr>
          <w:rFonts w:hint="eastAsia" w:ascii="仿宋" w:hAnsi="仿宋" w:eastAsia="仿宋" w:cs="仿宋"/>
          <w:color w:val="auto"/>
          <w:spacing w:val="10"/>
          <w:kern w:val="2"/>
          <w:sz w:val="32"/>
          <w:szCs w:val="32"/>
          <w:lang w:val="zh-TW" w:eastAsia="zh-TW" w:bidi="ar-SA"/>
        </w:rPr>
        <w:t>为保障行政单位（包括参照公务员法管理的事业单位）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 w14:paraId="34DAF44A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cs="黑体" w:asciiTheme="minorEastAsia" w:hAnsiTheme="minorEastAsia"/>
          <w:color w:val="000000"/>
          <w:kern w:val="0"/>
          <w:sz w:val="32"/>
          <w:szCs w:val="32"/>
        </w:rPr>
        <w:t>二、“三公”经费：</w:t>
      </w:r>
      <w:r>
        <w:rPr>
          <w:rFonts w:hint="eastAsia" w:ascii="仿宋" w:hAnsi="仿宋" w:eastAsia="仿宋" w:cs="仿宋"/>
          <w:color w:val="auto"/>
          <w:spacing w:val="10"/>
          <w:kern w:val="2"/>
          <w:sz w:val="32"/>
          <w:szCs w:val="32"/>
          <w:lang w:val="zh-TW" w:eastAsia="zh-TW" w:bidi="ar-SA"/>
        </w:rPr>
        <w:t>纳入财政预算管理的“三公”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p w14:paraId="4E659AA9">
      <w:pPr>
        <w:widowControl/>
        <w:spacing w:line="600" w:lineRule="exact"/>
        <w:ind w:firstLine="880" w:firstLineChars="200"/>
        <w:jc w:val="center"/>
        <w:rPr>
          <w:rFonts w:hint="eastAsia" w:ascii="黑体" w:hAnsi="黑体" w:eastAsia="黑体" w:cs="Times New Roman"/>
          <w:kern w:val="0"/>
          <w:sz w:val="44"/>
          <w:szCs w:val="44"/>
        </w:rPr>
      </w:pPr>
    </w:p>
    <w:p w14:paraId="78CFEC0D">
      <w:pPr>
        <w:widowControl/>
        <w:spacing w:line="600" w:lineRule="exact"/>
        <w:ind w:firstLine="880" w:firstLineChars="200"/>
        <w:jc w:val="center"/>
        <w:rPr>
          <w:rFonts w:hint="eastAsia" w:ascii="黑体" w:hAnsi="黑体" w:eastAsia="黑体" w:cs="Times New Roman"/>
          <w:kern w:val="0"/>
          <w:sz w:val="44"/>
          <w:szCs w:val="44"/>
        </w:rPr>
      </w:pPr>
      <w:r>
        <w:rPr>
          <w:rFonts w:hint="eastAsia" w:ascii="黑体" w:hAnsi="黑体" w:eastAsia="黑体" w:cs="Times New Roman"/>
          <w:kern w:val="0"/>
          <w:sz w:val="44"/>
          <w:szCs w:val="44"/>
        </w:rPr>
        <w:t>第</w:t>
      </w:r>
      <w:r>
        <w:rPr>
          <w:rFonts w:hint="eastAsia" w:ascii="黑体" w:hAnsi="黑体" w:eastAsia="黑体" w:cs="Times New Roman"/>
          <w:kern w:val="0"/>
          <w:sz w:val="44"/>
          <w:szCs w:val="44"/>
          <w:lang w:eastAsia="zh-CN"/>
        </w:rPr>
        <w:t>五</w:t>
      </w:r>
      <w:r>
        <w:rPr>
          <w:rFonts w:hint="eastAsia" w:ascii="黑体" w:hAnsi="黑体" w:eastAsia="黑体" w:cs="Times New Roman"/>
          <w:kern w:val="0"/>
          <w:sz w:val="44"/>
          <w:szCs w:val="44"/>
        </w:rPr>
        <w:t>部分</w:t>
      </w:r>
    </w:p>
    <w:p w14:paraId="0A22B69A">
      <w:pPr>
        <w:widowControl/>
        <w:spacing w:line="600" w:lineRule="exact"/>
        <w:ind w:firstLine="880" w:firstLineChars="200"/>
        <w:jc w:val="center"/>
        <w:rPr>
          <w:rFonts w:hint="eastAsia" w:ascii="黑体" w:hAnsi="黑体" w:eastAsia="黑体" w:cs="Times New Roman"/>
          <w:kern w:val="0"/>
          <w:sz w:val="44"/>
          <w:szCs w:val="44"/>
        </w:rPr>
      </w:pPr>
    </w:p>
    <w:p w14:paraId="10449343">
      <w:pPr>
        <w:widowControl/>
        <w:spacing w:line="600" w:lineRule="exact"/>
        <w:ind w:firstLine="880" w:firstLineChars="200"/>
        <w:jc w:val="center"/>
        <w:rPr>
          <w:rFonts w:hint="eastAsia" w:ascii="黑体" w:hAnsi="黑体" w:eastAsia="黑体" w:cs="Times New Roman"/>
          <w:kern w:val="0"/>
          <w:sz w:val="44"/>
          <w:szCs w:val="44"/>
          <w:lang w:eastAsia="zh-CN"/>
        </w:rPr>
      </w:pPr>
      <w:r>
        <w:rPr>
          <w:rFonts w:hint="eastAsia" w:ascii="黑体" w:hAnsi="黑体" w:eastAsia="黑体" w:cs="Times New Roman"/>
          <w:kern w:val="0"/>
          <w:sz w:val="44"/>
          <w:szCs w:val="44"/>
          <w:lang w:eastAsia="zh-CN"/>
        </w:rPr>
        <w:t>附</w:t>
      </w:r>
      <w:r>
        <w:rPr>
          <w:rFonts w:hint="eastAsia" w:ascii="黑体" w:hAnsi="黑体" w:eastAsia="黑体" w:cs="Times New Roman"/>
          <w:kern w:val="0"/>
          <w:sz w:val="44"/>
          <w:szCs w:val="44"/>
          <w:lang w:val="en-US" w:eastAsia="zh-CN"/>
        </w:rPr>
        <w:t xml:space="preserve">  </w:t>
      </w:r>
      <w:r>
        <w:rPr>
          <w:rFonts w:hint="eastAsia" w:ascii="黑体" w:hAnsi="黑体" w:eastAsia="黑体" w:cs="Times New Roman"/>
          <w:kern w:val="0"/>
          <w:sz w:val="44"/>
          <w:szCs w:val="44"/>
          <w:lang w:eastAsia="zh-CN"/>
        </w:rPr>
        <w:t>件</w:t>
      </w:r>
    </w:p>
    <w:p w14:paraId="3D2CCB9B">
      <w:pPr>
        <w:pStyle w:val="17"/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6E376285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u w:val="none"/>
          <w:lang w:val="en-US" w:eastAsia="zh-CN"/>
        </w:rPr>
        <w:fldChar w:fldCharType="begin"/>
      </w:r>
      <w:r>
        <w:rPr>
          <w:rFonts w:hint="eastAsia" w:ascii="Times New Roman" w:hAnsi="Times New Roman" w:eastAsia="仿宋_GB2312"/>
          <w:color w:val="auto"/>
          <w:sz w:val="32"/>
          <w:szCs w:val="32"/>
          <w:u w:val="none"/>
          <w:lang w:val="en-US" w:eastAsia="zh-CN"/>
        </w:rPr>
        <w:instrText xml:space="preserve"> HYPERLINK "湖南怀化国家农业科技园区管理委员会2023年决算公开表.XLS" </w:instrText>
      </w:r>
      <w:r>
        <w:rPr>
          <w:rFonts w:hint="eastAsia" w:ascii="Times New Roman" w:hAnsi="Times New Roman" w:eastAsia="仿宋_GB2312"/>
          <w:color w:val="auto"/>
          <w:sz w:val="32"/>
          <w:szCs w:val="32"/>
          <w:u w:val="none"/>
          <w:lang w:val="en-US" w:eastAsia="zh-CN"/>
        </w:rPr>
        <w:fldChar w:fldCharType="separate"/>
      </w:r>
      <w:r>
        <w:rPr>
          <w:rStyle w:val="14"/>
          <w:rFonts w:hint="eastAsia" w:ascii="Times New Roman" w:hAnsi="Times New Roman" w:eastAsia="仿宋_GB2312"/>
          <w:sz w:val="32"/>
          <w:szCs w:val="32"/>
          <w:lang w:val="en-US" w:eastAsia="zh-CN"/>
        </w:rPr>
        <w:t>附件1：湖南怀化国家农业科技园区管理委员会2023年决算公开表</w:t>
      </w:r>
      <w:r>
        <w:rPr>
          <w:rFonts w:hint="eastAsia" w:ascii="Times New Roman" w:hAnsi="Times New Roman" w:eastAsia="仿宋_GB2312"/>
          <w:color w:val="auto"/>
          <w:sz w:val="32"/>
          <w:szCs w:val="32"/>
          <w:u w:val="none"/>
          <w:lang w:val="en-US" w:eastAsia="zh-CN"/>
        </w:rPr>
        <w:fldChar w:fldCharType="end"/>
      </w:r>
    </w:p>
    <w:p w14:paraId="40074453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instrText xml:space="preserve"> HYPERLINK "湖南怀化国家农业科技园区管理委员会2023年部门整体支出绩效评价报告.doc" </w:instrTex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fldChar w:fldCharType="separate"/>
      </w:r>
      <w:r>
        <w:rPr>
          <w:rStyle w:val="14"/>
          <w:rFonts w:hint="eastAsia" w:ascii="Times New Roman" w:hAnsi="Times New Roman" w:eastAsia="仿宋_GB2312"/>
          <w:sz w:val="32"/>
          <w:szCs w:val="32"/>
          <w:lang w:val="en-US" w:eastAsia="zh-CN"/>
        </w:rPr>
        <w:t>附件2：湖南怀化国家农业科技园区管理委员会2023年部门整体支出绩效评价报告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fldChar w:fldCharType="end"/>
      </w:r>
    </w:p>
    <w:p w14:paraId="1C482C51">
      <w:pPr>
        <w:pStyle w:val="17"/>
        <w:jc w:val="center"/>
        <w:rPr>
          <w:sz w:val="72"/>
          <w:szCs w:val="72"/>
        </w:rPr>
      </w:pPr>
    </w:p>
    <w:sectPr>
      <w:pgSz w:w="11906" w:h="16838"/>
      <w:pgMar w:top="1803" w:right="1440" w:bottom="1803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0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6F8D963"/>
    <w:multiLevelType w:val="singleLevel"/>
    <w:tmpl w:val="76F8D963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xNjIxZDhmMTAwMWJlZWQyN2ZjMDVmZjJkNjUwMGEifQ=="/>
  </w:docVars>
  <w:rsids>
    <w:rsidRoot w:val="004506F9"/>
    <w:rsid w:val="0002229B"/>
    <w:rsid w:val="000273BD"/>
    <w:rsid w:val="00040CBC"/>
    <w:rsid w:val="000415B7"/>
    <w:rsid w:val="00041E3F"/>
    <w:rsid w:val="00055DAA"/>
    <w:rsid w:val="00061F7B"/>
    <w:rsid w:val="000658A3"/>
    <w:rsid w:val="00074155"/>
    <w:rsid w:val="000A3F69"/>
    <w:rsid w:val="00103957"/>
    <w:rsid w:val="00152C6D"/>
    <w:rsid w:val="00162D39"/>
    <w:rsid w:val="001678BD"/>
    <w:rsid w:val="00182373"/>
    <w:rsid w:val="001A67DB"/>
    <w:rsid w:val="001C3C29"/>
    <w:rsid w:val="001D51E5"/>
    <w:rsid w:val="001E080D"/>
    <w:rsid w:val="001E53D0"/>
    <w:rsid w:val="001F0C3B"/>
    <w:rsid w:val="00202C82"/>
    <w:rsid w:val="00214427"/>
    <w:rsid w:val="00226CB7"/>
    <w:rsid w:val="00264552"/>
    <w:rsid w:val="00264EF9"/>
    <w:rsid w:val="00265724"/>
    <w:rsid w:val="0027426B"/>
    <w:rsid w:val="002E0A30"/>
    <w:rsid w:val="003130C4"/>
    <w:rsid w:val="00316C4B"/>
    <w:rsid w:val="0032192B"/>
    <w:rsid w:val="003479BD"/>
    <w:rsid w:val="0037197D"/>
    <w:rsid w:val="003768D5"/>
    <w:rsid w:val="003926B9"/>
    <w:rsid w:val="003C47E6"/>
    <w:rsid w:val="003C4FC2"/>
    <w:rsid w:val="00416E61"/>
    <w:rsid w:val="0042790C"/>
    <w:rsid w:val="004506F9"/>
    <w:rsid w:val="004717A2"/>
    <w:rsid w:val="00473DF3"/>
    <w:rsid w:val="00487911"/>
    <w:rsid w:val="00491741"/>
    <w:rsid w:val="004B0CEE"/>
    <w:rsid w:val="00500E5F"/>
    <w:rsid w:val="005122EF"/>
    <w:rsid w:val="0051441A"/>
    <w:rsid w:val="00517C33"/>
    <w:rsid w:val="00517D5F"/>
    <w:rsid w:val="00523644"/>
    <w:rsid w:val="0054069E"/>
    <w:rsid w:val="00544866"/>
    <w:rsid w:val="005767CC"/>
    <w:rsid w:val="00590D9F"/>
    <w:rsid w:val="00595D26"/>
    <w:rsid w:val="005A74E6"/>
    <w:rsid w:val="005B404E"/>
    <w:rsid w:val="005D4D55"/>
    <w:rsid w:val="005E2CFB"/>
    <w:rsid w:val="005F2103"/>
    <w:rsid w:val="005F3D1C"/>
    <w:rsid w:val="0062378F"/>
    <w:rsid w:val="00641842"/>
    <w:rsid w:val="00651EEC"/>
    <w:rsid w:val="00686673"/>
    <w:rsid w:val="00691E8C"/>
    <w:rsid w:val="006A22C4"/>
    <w:rsid w:val="006A351B"/>
    <w:rsid w:val="006B0422"/>
    <w:rsid w:val="006C1B53"/>
    <w:rsid w:val="006D7730"/>
    <w:rsid w:val="006E5284"/>
    <w:rsid w:val="006F3EB5"/>
    <w:rsid w:val="00702E34"/>
    <w:rsid w:val="00704395"/>
    <w:rsid w:val="00710FE7"/>
    <w:rsid w:val="00717621"/>
    <w:rsid w:val="00720FF1"/>
    <w:rsid w:val="00727A53"/>
    <w:rsid w:val="00787B42"/>
    <w:rsid w:val="007C4539"/>
    <w:rsid w:val="007F3657"/>
    <w:rsid w:val="00812ED5"/>
    <w:rsid w:val="008277D9"/>
    <w:rsid w:val="0084478C"/>
    <w:rsid w:val="0086638C"/>
    <w:rsid w:val="008A3E8D"/>
    <w:rsid w:val="009237C4"/>
    <w:rsid w:val="00944C48"/>
    <w:rsid w:val="00950252"/>
    <w:rsid w:val="00967F5D"/>
    <w:rsid w:val="009A0F95"/>
    <w:rsid w:val="009B3ADF"/>
    <w:rsid w:val="009C3B52"/>
    <w:rsid w:val="009E6817"/>
    <w:rsid w:val="009E6E9A"/>
    <w:rsid w:val="00A01D2B"/>
    <w:rsid w:val="00A42218"/>
    <w:rsid w:val="00A70249"/>
    <w:rsid w:val="00A70B02"/>
    <w:rsid w:val="00A71D9F"/>
    <w:rsid w:val="00A92E9F"/>
    <w:rsid w:val="00AB18FF"/>
    <w:rsid w:val="00B33BEA"/>
    <w:rsid w:val="00B57C9F"/>
    <w:rsid w:val="00B63572"/>
    <w:rsid w:val="00B845B3"/>
    <w:rsid w:val="00B85D8B"/>
    <w:rsid w:val="00BB4A40"/>
    <w:rsid w:val="00BD6C3E"/>
    <w:rsid w:val="00BE3674"/>
    <w:rsid w:val="00C10681"/>
    <w:rsid w:val="00C3049A"/>
    <w:rsid w:val="00C31B1E"/>
    <w:rsid w:val="00C77645"/>
    <w:rsid w:val="00CE04C3"/>
    <w:rsid w:val="00CE76A0"/>
    <w:rsid w:val="00D148C6"/>
    <w:rsid w:val="00D17A8A"/>
    <w:rsid w:val="00D415BA"/>
    <w:rsid w:val="00D63780"/>
    <w:rsid w:val="00D644EE"/>
    <w:rsid w:val="00DD06FF"/>
    <w:rsid w:val="00DD5FE9"/>
    <w:rsid w:val="00E00C7A"/>
    <w:rsid w:val="00E37D6C"/>
    <w:rsid w:val="00E55B68"/>
    <w:rsid w:val="00E561AE"/>
    <w:rsid w:val="00E67BE6"/>
    <w:rsid w:val="00E8683C"/>
    <w:rsid w:val="00EA2B72"/>
    <w:rsid w:val="00F74360"/>
    <w:rsid w:val="00FB462F"/>
    <w:rsid w:val="00FE16FA"/>
    <w:rsid w:val="00FE328A"/>
    <w:rsid w:val="00FE6269"/>
    <w:rsid w:val="00FF5CD6"/>
    <w:rsid w:val="05703E7C"/>
    <w:rsid w:val="08174DCE"/>
    <w:rsid w:val="103F5AD3"/>
    <w:rsid w:val="11CD7A3C"/>
    <w:rsid w:val="15F93A4F"/>
    <w:rsid w:val="17F93AF7"/>
    <w:rsid w:val="186715DB"/>
    <w:rsid w:val="196F62FD"/>
    <w:rsid w:val="1C3654FC"/>
    <w:rsid w:val="1D97DEFF"/>
    <w:rsid w:val="1DFF72E5"/>
    <w:rsid w:val="1EFC6F07"/>
    <w:rsid w:val="1FBE3BA7"/>
    <w:rsid w:val="238B30B1"/>
    <w:rsid w:val="26A02DDC"/>
    <w:rsid w:val="297B3BC8"/>
    <w:rsid w:val="2D6F4E90"/>
    <w:rsid w:val="2E904EC2"/>
    <w:rsid w:val="2FDF85B8"/>
    <w:rsid w:val="2FFFEE04"/>
    <w:rsid w:val="30134B5A"/>
    <w:rsid w:val="32123D31"/>
    <w:rsid w:val="34DF85B0"/>
    <w:rsid w:val="35B5357D"/>
    <w:rsid w:val="376B75FE"/>
    <w:rsid w:val="39862EF1"/>
    <w:rsid w:val="3A0B5FB6"/>
    <w:rsid w:val="3B8F36BC"/>
    <w:rsid w:val="3C9B0B10"/>
    <w:rsid w:val="3EC94364"/>
    <w:rsid w:val="3F0100E9"/>
    <w:rsid w:val="414A56C0"/>
    <w:rsid w:val="4606574C"/>
    <w:rsid w:val="47060671"/>
    <w:rsid w:val="48EE0D82"/>
    <w:rsid w:val="491FF225"/>
    <w:rsid w:val="49320E3E"/>
    <w:rsid w:val="49A74393"/>
    <w:rsid w:val="4A39756E"/>
    <w:rsid w:val="4E0F4D20"/>
    <w:rsid w:val="4E8B1908"/>
    <w:rsid w:val="4F841C44"/>
    <w:rsid w:val="4FFD214C"/>
    <w:rsid w:val="515406D7"/>
    <w:rsid w:val="515C0243"/>
    <w:rsid w:val="51BC686B"/>
    <w:rsid w:val="5777D4F5"/>
    <w:rsid w:val="59DD8326"/>
    <w:rsid w:val="5A3B1DC0"/>
    <w:rsid w:val="5DEF592A"/>
    <w:rsid w:val="5FC6BB1E"/>
    <w:rsid w:val="5FF720F1"/>
    <w:rsid w:val="63DF6A68"/>
    <w:rsid w:val="657038D9"/>
    <w:rsid w:val="67FF5C0B"/>
    <w:rsid w:val="6878332B"/>
    <w:rsid w:val="6A6A5BF7"/>
    <w:rsid w:val="6B321631"/>
    <w:rsid w:val="6B9D4CFC"/>
    <w:rsid w:val="6CE93F71"/>
    <w:rsid w:val="6EFC0924"/>
    <w:rsid w:val="6FB74722"/>
    <w:rsid w:val="6FEF8B7E"/>
    <w:rsid w:val="703A60CC"/>
    <w:rsid w:val="706D1298"/>
    <w:rsid w:val="71A6591B"/>
    <w:rsid w:val="72A22A1E"/>
    <w:rsid w:val="737D59BA"/>
    <w:rsid w:val="747D06DD"/>
    <w:rsid w:val="749018A2"/>
    <w:rsid w:val="758136EA"/>
    <w:rsid w:val="76FA1255"/>
    <w:rsid w:val="77C37683"/>
    <w:rsid w:val="788F15E9"/>
    <w:rsid w:val="78CD185E"/>
    <w:rsid w:val="799B65F3"/>
    <w:rsid w:val="79E4560A"/>
    <w:rsid w:val="79FF515B"/>
    <w:rsid w:val="7A9C0DCE"/>
    <w:rsid w:val="7CAC26B0"/>
    <w:rsid w:val="7D5416FA"/>
    <w:rsid w:val="7E9E1962"/>
    <w:rsid w:val="7E9F11B4"/>
    <w:rsid w:val="7F323EA9"/>
    <w:rsid w:val="7F37EC1E"/>
    <w:rsid w:val="7F7DCD9D"/>
    <w:rsid w:val="7F970A6F"/>
    <w:rsid w:val="7FC1FFF3"/>
    <w:rsid w:val="7FC69637"/>
    <w:rsid w:val="7FDF8620"/>
    <w:rsid w:val="7FFB242F"/>
    <w:rsid w:val="7FFDB408"/>
    <w:rsid w:val="7FFE4EEB"/>
    <w:rsid w:val="95FB2B98"/>
    <w:rsid w:val="9A639BC2"/>
    <w:rsid w:val="9FF7D786"/>
    <w:rsid w:val="ABBFB23D"/>
    <w:rsid w:val="C3B4DA5A"/>
    <w:rsid w:val="CBFF70E0"/>
    <w:rsid w:val="CFF50B82"/>
    <w:rsid w:val="CFFFAD89"/>
    <w:rsid w:val="DFFE359E"/>
    <w:rsid w:val="DFFE4FFD"/>
    <w:rsid w:val="EEABED75"/>
    <w:rsid w:val="F56FDF51"/>
    <w:rsid w:val="F6B69F17"/>
    <w:rsid w:val="F77F1D61"/>
    <w:rsid w:val="F7FED3A9"/>
    <w:rsid w:val="F8C9DB26"/>
    <w:rsid w:val="F97E8EAE"/>
    <w:rsid w:val="FB36E1A6"/>
    <w:rsid w:val="FB3BE134"/>
    <w:rsid w:val="FCFF4275"/>
    <w:rsid w:val="FD7FEEEA"/>
    <w:rsid w:val="FDFFB577"/>
    <w:rsid w:val="FEEA50FE"/>
    <w:rsid w:val="FF7D47A9"/>
    <w:rsid w:val="FFCF21CB"/>
    <w:rsid w:val="FFFF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"/>
    <w:basedOn w:val="3"/>
    <w:qFormat/>
    <w:uiPriority w:val="0"/>
    <w:pPr>
      <w:ind w:firstLine="100" w:firstLineChars="100"/>
    </w:pPr>
  </w:style>
  <w:style w:type="paragraph" w:customStyle="1" w:styleId="3">
    <w:name w:val="BodyText"/>
    <w:basedOn w:val="1"/>
    <w:qFormat/>
    <w:uiPriority w:val="0"/>
    <w:pPr>
      <w:spacing w:after="120"/>
    </w:pPr>
  </w:style>
  <w:style w:type="paragraph" w:styleId="4">
    <w:name w:val="Body Text Indent"/>
    <w:basedOn w:val="1"/>
    <w:next w:val="5"/>
    <w:unhideWhenUsed/>
    <w:qFormat/>
    <w:uiPriority w:val="99"/>
    <w:pPr>
      <w:widowControl/>
      <w:spacing w:after="120"/>
      <w:ind w:left="420" w:leftChars="200"/>
      <w:jc w:val="left"/>
    </w:pPr>
    <w:rPr>
      <w:rFonts w:ascii="宋体" w:hAnsi="宋体" w:eastAsia="宋体" w:cs="宋体"/>
      <w:kern w:val="0"/>
      <w:sz w:val="24"/>
    </w:rPr>
  </w:style>
  <w:style w:type="paragraph" w:styleId="5">
    <w:name w:val="Body Text First Indent 2"/>
    <w:basedOn w:val="4"/>
    <w:next w:val="1"/>
    <w:unhideWhenUsed/>
    <w:qFormat/>
    <w:uiPriority w:val="99"/>
    <w:pPr>
      <w:ind w:firstLine="420" w:firstLineChars="200"/>
    </w:pPr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next w:val="5"/>
    <w:semiHidden/>
    <w:qFormat/>
    <w:uiPriority w:val="0"/>
    <w:pPr>
      <w:snapToGrid w:val="0"/>
      <w:jc w:val="left"/>
    </w:pPr>
    <w:rPr>
      <w:sz w:val="18"/>
      <w:szCs w:val="18"/>
    </w:rPr>
  </w:style>
  <w:style w:type="paragraph" w:styleId="10">
    <w:name w:val="Normal (Web)"/>
    <w:qFormat/>
    <w:uiPriority w:val="0"/>
    <w:pPr>
      <w:widowControl w:val="0"/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  <w:lang w:val="en-US" w:eastAsia="zh-CN" w:bidi="ar-SA"/>
    </w:rPr>
  </w:style>
  <w:style w:type="character" w:styleId="13">
    <w:name w:val="FollowedHyperlink"/>
    <w:basedOn w:val="12"/>
    <w:semiHidden/>
    <w:unhideWhenUsed/>
    <w:qFormat/>
    <w:uiPriority w:val="99"/>
    <w:rPr>
      <w:color w:val="800080"/>
      <w:u w:val="single"/>
    </w:rPr>
  </w:style>
  <w:style w:type="character" w:styleId="14">
    <w:name w:val="Hyperlink"/>
    <w:basedOn w:val="12"/>
    <w:semiHidden/>
    <w:unhideWhenUsed/>
    <w:qFormat/>
    <w:uiPriority w:val="99"/>
    <w:rPr>
      <w:color w:val="0000FF"/>
      <w:u w:val="single"/>
    </w:rPr>
  </w:style>
  <w:style w:type="character" w:customStyle="1" w:styleId="15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6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kern w:val="0"/>
      <w:sz w:val="24"/>
      <w:szCs w:val="24"/>
      <w:lang w:val="en-US" w:eastAsia="zh-CN" w:bidi="ar-SA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批注框文本 Char"/>
    <w:basedOn w:val="12"/>
    <w:link w:val="6"/>
    <w:semiHidden/>
    <w:qFormat/>
    <w:uiPriority w:val="99"/>
    <w:rPr>
      <w:sz w:val="18"/>
      <w:szCs w:val="18"/>
    </w:rPr>
  </w:style>
  <w:style w:type="character" w:customStyle="1" w:styleId="20">
    <w:name w:val="font0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2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2">
    <w:name w:val="font1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12</Pages>
  <Words>4438</Words>
  <Characters>4860</Characters>
  <Lines>63</Lines>
  <Paragraphs>18</Paragraphs>
  <TotalTime>105</TotalTime>
  <ScaleCrop>false</ScaleCrop>
  <LinksUpToDate>false</LinksUpToDate>
  <CharactersWithSpaces>4872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2020-07-08T02:32:00Z</dcterms:created>
  <dc:creator>李航 null</dc:creator>
  <cp:lastModifiedBy>u</cp:lastModifiedBy>
  <cp:lastPrinted>2024-09-09T08:18:00Z</cp:lastPrinted>
  <dcterms:modified xsi:type="dcterms:W3CDTF">2024-09-25T00:24:41Z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6EEB0F58B41A4E5F87DDECD4FB80729C_13</vt:lpwstr>
  </property>
</Properties>
</file>