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6D2FA">
      <w:pPr>
        <w:widowControl/>
        <w:spacing w:line="600" w:lineRule="exact"/>
        <w:ind w:firstLine="1120" w:firstLineChars="200"/>
        <w:jc w:val="center"/>
        <w:rPr>
          <w:sz w:val="56"/>
        </w:rPr>
      </w:pPr>
      <w:r>
        <w:rPr>
          <w:sz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-297180</wp:posOffset>
                </wp:positionV>
                <wp:extent cx="1523365" cy="517525"/>
                <wp:effectExtent l="0" t="0" r="635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99590" y="935990"/>
                          <a:ext cx="1523365" cy="517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9FC84D">
                            <w:pPr>
                              <w:rPr>
                                <w:rFonts w:hint="eastAsia" w:ascii="楷体" w:hAnsi="楷体" w:eastAsia="楷体" w:cs="楷体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30"/>
                                <w:szCs w:val="30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30"/>
                                <w:szCs w:val="30"/>
                                <w:lang w:val="en-US" w:eastAsia="zh-CN"/>
                              </w:rPr>
                              <w:t>1：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6pt;margin-top:-23.4pt;height:40.75pt;width:119.95pt;z-index:251659264;mso-width-relative:page;mso-height-relative:page;" fillcolor="#FFFFFF [3201]" filled="t" stroked="f" coordsize="21600,21600" o:gfxdata="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cvAmUNYAAAAK&#10;AQAADwAAAAAAAAABACAAAAAiAAAAZHJzL2Rvd25yZXYueG1sUEsBAhQAFAAAAAgAh07iQEe/k8dX&#10;AgAAmgQAAA4AAAAAAAAAAQAgAAAAJQ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49FC84D">
                      <w:pPr>
                        <w:rPr>
                          <w:rFonts w:hint="eastAsia" w:ascii="楷体" w:hAnsi="楷体" w:eastAsia="楷体" w:cs="楷体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30"/>
                          <w:szCs w:val="30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楷体" w:hAnsi="楷体" w:eastAsia="楷体" w:cs="楷体"/>
                          <w:sz w:val="30"/>
                          <w:szCs w:val="30"/>
                          <w:lang w:val="en-US" w:eastAsia="zh-CN"/>
                        </w:rPr>
                        <w:t>1：</w:t>
                      </w:r>
                    </w:p>
                  </w:txbxContent>
                </v:textbox>
              </v:shape>
            </w:pict>
          </mc:Fallback>
        </mc:AlternateContent>
      </w:r>
    </w:p>
    <w:p w14:paraId="17C57912">
      <w:pPr>
        <w:pStyle w:val="17"/>
        <w:jc w:val="center"/>
        <w:rPr>
          <w:rFonts w:hint="eastAsia" w:ascii="仿宋" w:hAnsi="仿宋" w:eastAsia="仿宋" w:cs="方正小标宋简体"/>
          <w:b/>
          <w:bCs/>
          <w:kern w:val="0"/>
          <w:sz w:val="48"/>
          <w:szCs w:val="48"/>
        </w:rPr>
      </w:pPr>
      <w:r>
        <w:rPr>
          <w:rFonts w:hint="eastAsia" w:ascii="仿宋" w:hAnsi="仿宋" w:eastAsia="仿宋" w:cs="方正小标宋简体"/>
          <w:b/>
          <w:bCs/>
          <w:kern w:val="0"/>
          <w:sz w:val="48"/>
          <w:szCs w:val="48"/>
        </w:rPr>
        <w:t>202</w:t>
      </w:r>
      <w:r>
        <w:rPr>
          <w:rFonts w:hint="eastAsia" w:ascii="仿宋" w:hAnsi="仿宋" w:eastAsia="仿宋" w:cs="方正小标宋简体"/>
          <w:b/>
          <w:bCs/>
          <w:kern w:val="0"/>
          <w:sz w:val="48"/>
          <w:szCs w:val="48"/>
          <w:lang w:val="en-US" w:eastAsia="zh-CN"/>
        </w:rPr>
        <w:t>4</w:t>
      </w:r>
      <w:r>
        <w:rPr>
          <w:rFonts w:hint="eastAsia" w:ascii="仿宋" w:hAnsi="仿宋" w:eastAsia="仿宋" w:cs="方正小标宋简体"/>
          <w:b/>
          <w:bCs/>
          <w:kern w:val="0"/>
          <w:sz w:val="48"/>
          <w:szCs w:val="48"/>
        </w:rPr>
        <w:t>年度湖南怀化国家农业科技园区</w:t>
      </w:r>
    </w:p>
    <w:p w14:paraId="24CB23E8">
      <w:pPr>
        <w:pStyle w:val="17"/>
        <w:jc w:val="center"/>
        <w:rPr>
          <w:sz w:val="32"/>
          <w:szCs w:val="32"/>
        </w:rPr>
      </w:pPr>
      <w:r>
        <w:rPr>
          <w:rFonts w:hint="eastAsia" w:ascii="仿宋" w:hAnsi="仿宋" w:eastAsia="仿宋" w:cs="方正小标宋简体"/>
          <w:b/>
          <w:bCs/>
          <w:kern w:val="0"/>
          <w:sz w:val="48"/>
          <w:szCs w:val="48"/>
        </w:rPr>
        <w:t>管理委员会部门决算</w:t>
      </w:r>
    </w:p>
    <w:p w14:paraId="793AD4FB">
      <w:pPr>
        <w:pStyle w:val="17"/>
        <w:spacing w:line="500" w:lineRule="exact"/>
        <w:jc w:val="both"/>
        <w:rPr>
          <w:b/>
          <w:sz w:val="36"/>
          <w:szCs w:val="28"/>
        </w:rPr>
      </w:pPr>
    </w:p>
    <w:p w14:paraId="39CCB519">
      <w:pPr>
        <w:widowControl/>
        <w:spacing w:line="600" w:lineRule="exact"/>
        <w:ind w:firstLine="640" w:firstLineChars="200"/>
        <w:jc w:val="center"/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目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录</w:t>
      </w:r>
    </w:p>
    <w:p w14:paraId="1D068CCE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第一部分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湖南怀化国家农业科技园区管理委员会概况</w:t>
      </w:r>
    </w:p>
    <w:p w14:paraId="3C40C69D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一、部门职责</w:t>
      </w:r>
    </w:p>
    <w:p w14:paraId="6FFAD65F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二、机构设置</w:t>
      </w:r>
    </w:p>
    <w:p w14:paraId="5DD5EE13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第二部分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部门决算表</w:t>
      </w:r>
    </w:p>
    <w:p w14:paraId="0214DED1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一、收入支出决算总表</w:t>
      </w:r>
    </w:p>
    <w:p w14:paraId="33EEBE14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二、收入决算表</w:t>
      </w:r>
    </w:p>
    <w:p w14:paraId="020D099C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三、支出决算表</w:t>
      </w:r>
    </w:p>
    <w:p w14:paraId="3855BAF2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四、财政拨款收入支出决算总表</w:t>
      </w:r>
    </w:p>
    <w:p w14:paraId="0DC40459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五、一般公共预算财政拨款支出决算表</w:t>
      </w:r>
    </w:p>
    <w:p w14:paraId="11C86E7B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六、一般公共预算财政拨款基本支出决算明细表</w:t>
      </w:r>
    </w:p>
    <w:p w14:paraId="3F5BFD01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七、政府性基金预算财政拨款收入支出决算表</w:t>
      </w:r>
    </w:p>
    <w:p w14:paraId="4A62A600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八、国有资本经营预算财政拨款支出决算表</w:t>
      </w:r>
    </w:p>
    <w:p w14:paraId="7E534261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九、财政拨款“三公”经费支出决算表</w:t>
      </w:r>
    </w:p>
    <w:p w14:paraId="7EDEFFCC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第三部分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部门决算情况说明</w:t>
      </w:r>
    </w:p>
    <w:p w14:paraId="0162C8C8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一、收入支出决算总体情况说明</w:t>
      </w:r>
    </w:p>
    <w:p w14:paraId="0153C6BE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二、收入决算情况说明</w:t>
      </w:r>
    </w:p>
    <w:p w14:paraId="2AD2FE43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三、支出决算情况说明</w:t>
      </w:r>
    </w:p>
    <w:p w14:paraId="75D7924A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四、财政拨款收入支出决算总体情况说明</w:t>
      </w:r>
    </w:p>
    <w:p w14:paraId="4BB26B23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五、一般公共预算财政拨款支出决算情况说明</w:t>
      </w:r>
    </w:p>
    <w:p w14:paraId="117C41E8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六、一般公共预算财政拨款基本支出决算情况说明</w:t>
      </w:r>
    </w:p>
    <w:p w14:paraId="1E50A179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七、财政拨款三公经费支出决算情况说明</w:t>
      </w:r>
    </w:p>
    <w:p w14:paraId="2A8DEAAF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八、政府性基金预算收入支出决算情况</w:t>
      </w:r>
    </w:p>
    <w:p w14:paraId="39CF6206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九、</w:t>
      </w:r>
      <w:r>
        <w:rPr>
          <w:rFonts w:hint="eastAsia" w:ascii="仿宋" w:hAnsi="仿宋" w:eastAsia="仿宋" w:cs="仿宋"/>
          <w:sz w:val="32"/>
          <w:szCs w:val="32"/>
        </w:rPr>
        <w:t>国有资本经营预算收入支出决算情况</w:t>
      </w:r>
    </w:p>
    <w:p w14:paraId="6CCB867A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sz w:val="32"/>
          <w:szCs w:val="32"/>
        </w:rPr>
        <w:t>、关于机关运行经费支出说明</w:t>
      </w:r>
    </w:p>
    <w:p w14:paraId="3C42E13E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、一般性支出情况说明</w:t>
      </w:r>
    </w:p>
    <w:p w14:paraId="669A0EAA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、关于政府采购支出说明</w:t>
      </w:r>
    </w:p>
    <w:p w14:paraId="08C072BE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、关于国有资产占用情况说明</w:t>
      </w:r>
    </w:p>
    <w:p w14:paraId="62C2BC73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、关于</w:t>
      </w:r>
      <w:r>
        <w:rPr>
          <w:rFonts w:hint="default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仿宋"/>
          <w:sz w:val="32"/>
          <w:szCs w:val="32"/>
        </w:rPr>
        <w:t>绩效情况的说明</w:t>
      </w:r>
    </w:p>
    <w:p w14:paraId="428DD0AF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第四部分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名词解释</w:t>
      </w:r>
    </w:p>
    <w:p w14:paraId="0DAED9F7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第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部分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eastAsia="zh-CN"/>
        </w:rPr>
        <w:t>附件</w:t>
      </w:r>
    </w:p>
    <w:p w14:paraId="56979516">
      <w:pPr>
        <w:widowControl/>
        <w:spacing w:line="600" w:lineRule="exact"/>
        <w:jc w:val="both"/>
        <w:rPr>
          <w:rFonts w:hint="eastAsia" w:ascii="方正小标宋_GBK" w:hAnsi="方正小标宋_GBK" w:eastAsia="方正小标宋_GBK" w:cs="方正小标宋_GBK"/>
          <w:sz w:val="72"/>
          <w:szCs w:val="72"/>
        </w:rPr>
      </w:pPr>
    </w:p>
    <w:p w14:paraId="70068FAA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 xml:space="preserve">第一部分 </w:t>
      </w:r>
    </w:p>
    <w:p w14:paraId="4A945FA6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</w:p>
    <w:p w14:paraId="4FCAE4F4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Times New Roman"/>
          <w:kern w:val="0"/>
          <w:sz w:val="44"/>
          <w:szCs w:val="44"/>
          <w:lang w:eastAsia="zh-CN"/>
        </w:rPr>
        <w:t>湖南怀化国家农业科技园区</w:t>
      </w:r>
    </w:p>
    <w:p w14:paraId="73C183F9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  <w:lang w:eastAsia="zh-CN"/>
        </w:rPr>
        <w:t>管理委员会</w:t>
      </w:r>
      <w:r>
        <w:rPr>
          <w:rFonts w:hint="eastAsia" w:ascii="黑体" w:hAnsi="黑体" w:eastAsia="黑体" w:cs="Times New Roman"/>
          <w:kern w:val="0"/>
          <w:sz w:val="44"/>
          <w:szCs w:val="44"/>
        </w:rPr>
        <w:t>概况</w:t>
      </w:r>
    </w:p>
    <w:p w14:paraId="1D6452F6">
      <w:pPr>
        <w:widowControl/>
        <w:spacing w:line="600" w:lineRule="exact"/>
        <w:jc w:val="left"/>
        <w:rPr>
          <w:rFonts w:hint="eastAsia" w:ascii="黑体" w:hAnsi="黑体" w:eastAsia="黑体" w:cs="仿宋"/>
          <w:sz w:val="32"/>
          <w:szCs w:val="32"/>
        </w:rPr>
      </w:pPr>
    </w:p>
    <w:p w14:paraId="66C8560C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仿宋"/>
          <w:sz w:val="32"/>
          <w:szCs w:val="32"/>
        </w:rPr>
        <w:t>部门职责</w:t>
      </w:r>
    </w:p>
    <w:p w14:paraId="350CB9CE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（一）负责贯彻执行党和国家关于农业科技园区的方针政策、法律法规和决策部署。</w:t>
      </w:r>
    </w:p>
    <w:p w14:paraId="22BC13F8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（二）负责研究拟订和组织实施怀化农科园重大发展战略、发展规划和工作计划。</w:t>
      </w:r>
    </w:p>
    <w:p w14:paraId="7066905B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（三）按照怀化市国土空间总体规划和产业发展规划要求及相关权限，统筹建设发展空间布局；负责拟订怀化农科园产业布局、产业政策、项目准入标准等重要事项并组织实施。</w:t>
      </w:r>
    </w:p>
    <w:p w14:paraId="79EC0C04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（四）负责怀化农科园招商引资工作，组织对外经济技术合作与交流。负责怀化农科园基础设施、公用事业、重大项目等建设管理相关工作。</w:t>
      </w:r>
    </w:p>
    <w:p w14:paraId="606D6322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（五）负责怀化农科园优化营商环境工作，根据权限依法承担有关行政审批工作，履行行政审批服务职责。负责构建怀化农科园创新创业服务体系，协助企业做好人才引进和服务工作。</w:t>
      </w:r>
    </w:p>
    <w:p w14:paraId="02FE1EB5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（六）负责怀化农科园的科技创新和高新技术产业管理及服务，开展有关科技创新和高新技术产业政策研究，构建技术创新服务体系；指导区内企业建立现代化企业制度，推进高新技术产业化、国际化。</w:t>
      </w:r>
    </w:p>
    <w:p w14:paraId="3B36F151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（七）负责怀化农科园党的建设和“两新”组织党建工作。</w:t>
      </w:r>
    </w:p>
    <w:p w14:paraId="55238E26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（八）根据有关要求和职责分工，承担怀化农科园综合管理、统计、审计、信息、安全生产监督管理、生态环境保护、财政收支管理及国有资产管理等工作。</w:t>
      </w:r>
    </w:p>
    <w:p w14:paraId="6ABEDDCB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（九）行使市委、市人民政府授予的其他职权，承办市委、市政府和有关部门交办的其他事项。</w:t>
      </w:r>
    </w:p>
    <w:p w14:paraId="101AFB03">
      <w:pPr>
        <w:widowControl/>
        <w:spacing w:line="600" w:lineRule="exact"/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二、机构设置及决算单位构成</w:t>
      </w:r>
    </w:p>
    <w:p w14:paraId="1BFE1EC9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一）内设机构设置。为湖南怀化国家农业科技园区管理委员会一级部门预算单位，内设机构包括：办公室（组织工作局）、科技与产业发展局（安全生产监督管理局）、招商合作局、开发建设局、财政局。怀化农科园党工委、管委会设置直属副科级公益一类非独立核算二级事业单位1个：湖南怀化国家农业科技园区创新创业服务中心（湖南怀化国家农业科技园区政务服务中心）</w:t>
      </w:r>
    </w:p>
    <w:p w14:paraId="7FF32FE2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（二）决算单位构成。湖南怀化国家农业科技园区管理委员会202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Times New Roman"/>
          <w:sz w:val="32"/>
          <w:szCs w:val="32"/>
        </w:rPr>
        <w:t>年部门决算汇总公开单位构成包括：湖南怀化国家农业科技园区管理委员会本级。</w:t>
      </w:r>
    </w:p>
    <w:p w14:paraId="343F1E7D">
      <w:pPr>
        <w:widowControl/>
        <w:spacing w:line="600" w:lineRule="exact"/>
        <w:jc w:val="left"/>
        <w:rPr>
          <w:rFonts w:hint="eastAsia" w:ascii="黑体" w:hAnsi="黑体" w:eastAsia="黑体" w:cs="Times New Roman"/>
          <w:kern w:val="0"/>
          <w:sz w:val="44"/>
          <w:szCs w:val="44"/>
        </w:rPr>
      </w:pPr>
    </w:p>
    <w:p w14:paraId="06A22D3F">
      <w:pPr>
        <w:pStyle w:val="2"/>
        <w:rPr>
          <w:rFonts w:hint="eastAsia"/>
        </w:rPr>
      </w:pPr>
    </w:p>
    <w:p w14:paraId="410BC47E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第二部分</w:t>
      </w:r>
    </w:p>
    <w:p w14:paraId="3947E25D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</w:p>
    <w:p w14:paraId="5B42EE97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部门决算表</w:t>
      </w:r>
    </w:p>
    <w:p w14:paraId="6C013E8E">
      <w:pPr>
        <w:pStyle w:val="2"/>
        <w:ind w:left="0" w:leftChars="0" w:firstLine="0" w:firstLineChars="0"/>
        <w:jc w:val="center"/>
        <w:rPr>
          <w:rFonts w:hint="eastAsia"/>
          <w:sz w:val="28"/>
          <w:szCs w:val="32"/>
          <w:lang w:eastAsia="zh-CN"/>
        </w:rPr>
      </w:pPr>
      <w:r>
        <w:rPr>
          <w:rFonts w:hint="eastAsia"/>
          <w:sz w:val="28"/>
          <w:szCs w:val="32"/>
          <w:lang w:val="en-US" w:eastAsia="zh-CN"/>
        </w:rPr>
        <w:t xml:space="preserve">  </w:t>
      </w:r>
      <w:r>
        <w:rPr>
          <w:rFonts w:hint="eastAsia"/>
          <w:sz w:val="28"/>
          <w:szCs w:val="32"/>
          <w:lang w:eastAsia="zh-CN"/>
        </w:rPr>
        <w:t>（</w:t>
      </w:r>
      <w:r>
        <w:rPr>
          <w:rFonts w:hint="eastAsia"/>
          <w:sz w:val="28"/>
          <w:szCs w:val="32"/>
          <w:lang w:val="en-US" w:eastAsia="zh-CN"/>
        </w:rPr>
        <w:t>详见附件1：公开附件</w:t>
      </w:r>
      <w:r>
        <w:rPr>
          <w:rFonts w:hint="eastAsia"/>
          <w:sz w:val="28"/>
          <w:szCs w:val="32"/>
          <w:lang w:eastAsia="zh-CN"/>
        </w:rPr>
        <w:t>）</w:t>
      </w:r>
    </w:p>
    <w:p w14:paraId="264D4B07">
      <w:pPr>
        <w:widowControl/>
        <w:spacing w:line="600" w:lineRule="exact"/>
        <w:ind w:firstLine="3520" w:firstLineChars="800"/>
        <w:jc w:val="both"/>
        <w:rPr>
          <w:rFonts w:hint="eastAsia" w:ascii="黑体" w:hAnsi="黑体" w:eastAsia="黑体" w:cs="Times New Roman"/>
          <w:kern w:val="0"/>
          <w:sz w:val="44"/>
          <w:szCs w:val="44"/>
        </w:rPr>
      </w:pPr>
    </w:p>
    <w:p w14:paraId="12E28785">
      <w:pPr>
        <w:pStyle w:val="2"/>
        <w:rPr>
          <w:rFonts w:hint="eastAsia"/>
        </w:rPr>
      </w:pPr>
    </w:p>
    <w:p w14:paraId="16A3E6F5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第三部分</w:t>
      </w:r>
    </w:p>
    <w:p w14:paraId="44CAAA3A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</w:p>
    <w:p w14:paraId="0451D323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  <w:lang w:eastAsia="zh-CN"/>
        </w:rPr>
        <w:t>2024</w:t>
      </w:r>
      <w:r>
        <w:rPr>
          <w:rFonts w:hint="eastAsia" w:ascii="黑体" w:hAnsi="黑体" w:eastAsia="黑体" w:cs="Times New Roman"/>
          <w:kern w:val="0"/>
          <w:sz w:val="44"/>
          <w:szCs w:val="44"/>
        </w:rPr>
        <w:t>年度部门决算情况说明</w:t>
      </w:r>
    </w:p>
    <w:p w14:paraId="0D2916AF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一、收入支出决算总体情况说明</w:t>
      </w:r>
    </w:p>
    <w:p w14:paraId="6B6D08CE">
      <w:pPr>
        <w:widowControl/>
        <w:spacing w:line="60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2024年度收、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总计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569.64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万元，2023年度收、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合计374.03万元，与上年相比，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eastAsia="zh-CN"/>
        </w:rPr>
        <w:t>增加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195.61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eastAsia="zh-CN"/>
        </w:rPr>
        <w:t>万元，增长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52.30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eastAsia="zh-CN"/>
        </w:rPr>
        <w:t>%，主要是因为人员增加以及正常晋级，新增人员经费130.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78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eastAsia="zh-CN"/>
        </w:rPr>
        <w:t>万元；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支付园区总体规划编制第三笔经费共计27.71万元；完成小叶黄精种子种苗繁育基地项目第二、第三阶段验收并拨付资金70万元。</w:t>
      </w:r>
    </w:p>
    <w:p w14:paraId="63486EAF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二、收入决算情况说明</w:t>
      </w:r>
    </w:p>
    <w:p w14:paraId="59637CFF">
      <w:pPr>
        <w:widowControl/>
        <w:spacing w:line="60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2024年度收入合计569.64万元，其中：财政拨款收入569.64万元，占100%；上级补助收入0万元，占0%；事业收入0万元，占0%；经营收入0万元，占0%；附属单位上缴收入0万元，占0%；其他收入0万元，占0%。</w:t>
      </w:r>
    </w:p>
    <w:p w14:paraId="0A5274C8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三、支出决算情况说明</w:t>
      </w:r>
    </w:p>
    <w:p w14:paraId="26C297C0">
      <w:pPr>
        <w:widowControl/>
        <w:spacing w:line="60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2024年度支出合计569.64万元，其中：基本支出499.64万元，占87.71%；项目支出70万元，占12.29%。</w:t>
      </w:r>
    </w:p>
    <w:p w14:paraId="162A85CE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四、财政拨款收入支出决算总体情况说明</w:t>
      </w:r>
    </w:p>
    <w:p w14:paraId="33A07441">
      <w:pPr>
        <w:widowControl/>
        <w:spacing w:line="60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2024年度收、支总计569.64万元，2023年度收、支合计374.03万元，与上年相比，增加195.61万元，增长52.30%，主要是因为人员增加以及正常晋级，新增人员经费130.80万元；支付园区总体规划编制第三笔经费共计27.71万元；完成小叶黄精种子种苗繁育基地项目第二、第三阶段验收并拨付资金70万元。</w:t>
      </w:r>
    </w:p>
    <w:p w14:paraId="19483478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五、一般公共预算财政拨款支出决算情况说明</w:t>
      </w:r>
    </w:p>
    <w:p w14:paraId="463AD6B8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（一）一般公共预算财政拨款支出决算总体情况</w:t>
      </w:r>
    </w:p>
    <w:p w14:paraId="47516FC4">
      <w:pPr>
        <w:widowControl/>
        <w:spacing w:line="60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2024年度收、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总计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569.64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eastAsia="zh-CN"/>
        </w:rPr>
        <w:t>万元，2023年度收、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eastAsia="zh-CN"/>
        </w:rPr>
        <w:t>合计374.03万元，与上年相比，增加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195.61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eastAsia="zh-CN"/>
        </w:rPr>
        <w:t>万元，增长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52.30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eastAsia="zh-CN"/>
        </w:rPr>
        <w:t>%，主要是因为人员增加以及正常晋级，新增人员经费130.80万元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；支付园区总体规划编制第三笔经费共计27.71万元；完成小叶黄精种子种苗繁育基地项目第二、第三阶段验收并拨付资金70万元。</w:t>
      </w:r>
    </w:p>
    <w:p w14:paraId="3D3F4945">
      <w:pPr>
        <w:pStyle w:val="2"/>
        <w:rPr>
          <w:rFonts w:hint="eastAsia"/>
        </w:rPr>
      </w:pPr>
    </w:p>
    <w:p w14:paraId="5181119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</w:rPr>
        <w:t>（二）一般公共预算财政拨款支出决算结构情况</w:t>
      </w:r>
    </w:p>
    <w:p w14:paraId="7A2E7D6B">
      <w:pPr>
        <w:widowControl/>
        <w:spacing w:line="60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2024年度财政拨款支出569.64万元，主要用于以下方面：农林水支出（类）支出506.24万元，占88.87%；社会保障和就业（类）支出28.86万元，占5.07%;卫生健康（类）支出11.22万元，占1.97%；住房保障（类）支出23.32万元，占4.09%。</w:t>
      </w:r>
    </w:p>
    <w:p w14:paraId="7381DF1E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</w:rPr>
        <w:t>（三）一般公共预算财政拨款支出决算具体情况</w:t>
      </w:r>
    </w:p>
    <w:p w14:paraId="2510C7D3">
      <w:pPr>
        <w:widowControl/>
        <w:spacing w:line="60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2024年度财政拨款支出年初预算数为192.82万元，支出决算数为569.64万元，完成年初预算的195.43%，其中：</w:t>
      </w:r>
    </w:p>
    <w:p w14:paraId="008EE59B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Times New Roman"/>
          <w:b/>
          <w:bCs/>
          <w:color w:val="auto"/>
          <w:sz w:val="32"/>
          <w:szCs w:val="32"/>
          <w:highlight w:val="none"/>
        </w:rPr>
        <w:t>1.农林水支出（类）农业农村（款）行政运行（项）。</w:t>
      </w:r>
    </w:p>
    <w:p w14:paraId="271FB076">
      <w:pPr>
        <w:widowControl/>
        <w:spacing w:line="60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年初预算为147.32万元，支出决算为506.24万元，完成年初预算的243.63%，决算数大于年初预算数的主要原因是人员增加以及正常晋级，新增人员经费；支付怀化国家农业科技园区科技创新创业综合服务平台建设费79.80万元：支付工会经费21.96万元；支付网络通讯费13.05万元；支付物业费13.45万元；支付差旅费12.24万元;支付空调设备费用8.99万元；支付引进人才2023-2024年度补贴9.20万元；支付伙食补助费7.89万元等。</w:t>
      </w:r>
    </w:p>
    <w:p w14:paraId="63D2541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Times New Roman"/>
          <w:b/>
          <w:bCs/>
          <w:color w:val="auto"/>
          <w:sz w:val="32"/>
          <w:szCs w:val="32"/>
          <w:highlight w:val="none"/>
          <w:lang w:val="en-US" w:eastAsia="zh-CN"/>
        </w:rPr>
        <w:t>2、社会保障和就业（类）行政事业单位养老支出（款）机关事业单位基本养老保险缴费支出（项）。</w:t>
      </w:r>
    </w:p>
    <w:p w14:paraId="090C74C8">
      <w:pPr>
        <w:widowControl/>
        <w:spacing w:line="60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年初预算为20.08万元，支出决算为28.86万元，完成年初预算的143.72%，决算数大于年初预算数的主要原因是：本年度因人员增加以及正常晋级，新增人员经费，使得行政事业单位基本养老保险缴费支出决算数大于预算数。</w:t>
      </w:r>
    </w:p>
    <w:p w14:paraId="7B125B9E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auto"/>
          <w:sz w:val="32"/>
          <w:szCs w:val="32"/>
          <w:highlight w:val="none"/>
          <w:lang w:val="en-US" w:eastAsia="zh-CN"/>
        </w:rPr>
        <w:t>3、卫生健康（类）行政事业单位医疗（款）其他行政事业单位医疗支出（项）。</w:t>
      </w:r>
    </w:p>
    <w:p w14:paraId="6D0BBEFF">
      <w:pPr>
        <w:widowControl/>
        <w:spacing w:line="60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年初预算为8.32万元，支出决算为11.22万元，完成年初预算的134.85%，决算数大于年初预算数的主要原因是：决算数大于年初预算数的主要原因是：本年度因人员增加以及正常晋级，新增人员经费，使得其他行政事业单位医疗支出决算数大于预算数。</w:t>
      </w:r>
    </w:p>
    <w:p w14:paraId="3C7B1657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auto"/>
          <w:sz w:val="32"/>
          <w:szCs w:val="32"/>
          <w:highlight w:val="none"/>
          <w:lang w:val="en-US" w:eastAsia="zh-CN"/>
        </w:rPr>
        <w:t>4、住房保障（类）住房改革（款）住房公积金支出（项）。</w:t>
      </w:r>
    </w:p>
    <w:p w14:paraId="5B06B0C7">
      <w:pPr>
        <w:widowControl/>
        <w:spacing w:line="60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年初预算为17.10万元，支出决算为23.32万元，完成年初预算的136.37%，决算数大于年初预算数的主要原因是：本年度因人员增加以及正常晋级，新增人员经费，使得住房公积金支出决算数大于预算数。</w:t>
      </w:r>
    </w:p>
    <w:p w14:paraId="01D547BF">
      <w:pPr>
        <w:widowControl/>
        <w:spacing w:line="600" w:lineRule="exact"/>
        <w:ind w:firstLine="640" w:firstLineChars="200"/>
        <w:jc w:val="left"/>
        <w:rPr>
          <w:rFonts w:hint="eastAsia" w:ascii="黑体" w:hAnsi="黑体" w:eastAsia="黑体" w:cs="仿宋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仿宋"/>
          <w:color w:val="auto"/>
          <w:sz w:val="32"/>
          <w:szCs w:val="32"/>
          <w:highlight w:val="none"/>
        </w:rPr>
        <w:t>六、一般公共预算财政拨款基本支出决算情况说明</w:t>
      </w:r>
    </w:p>
    <w:p w14:paraId="72293627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highlight w:val="none"/>
          <w:lang w:val="en-US" w:eastAsia="zh-CN" w:bidi="ar-SA"/>
        </w:rPr>
        <w:t>2024年度财政拨款基本支出569.64万元，其中：</w:t>
      </w:r>
    </w:p>
    <w:p w14:paraId="63CAA708">
      <w:pPr>
        <w:widowControl/>
        <w:spacing w:line="600" w:lineRule="exact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人员经费296.37万元，占基本支出的52.02%,主要包括基本工资、津贴补贴、基本养老保险缴费、基本医疗保险缴费、其他社会保障缴费等；公用经费203.27万元，占基本支出的35.68%，主要包括办公费、印刷费、咨询费、手续费、差旅费、培训费、其他交通费用、其他商品和服务支出等、费用补贴等。</w:t>
      </w:r>
    </w:p>
    <w:p w14:paraId="71D6BCD6">
      <w:pPr>
        <w:pStyle w:val="1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仿宋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仿宋"/>
          <w:color w:val="auto"/>
          <w:kern w:val="2"/>
          <w:sz w:val="32"/>
          <w:szCs w:val="32"/>
          <w:highlight w:val="none"/>
          <w:lang w:val="en-US" w:eastAsia="zh-CN" w:bidi="ar-SA"/>
        </w:rPr>
        <w:t>财政拨款三公经费支出决算情况说明</w:t>
      </w:r>
    </w:p>
    <w:p w14:paraId="679220CF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（一）“三公”经费财政拨款支出决算总体情况说明</w:t>
      </w:r>
    </w:p>
    <w:p w14:paraId="795D26CF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（1）“三公”经费指出情况。</w:t>
      </w:r>
    </w:p>
    <w:p w14:paraId="36C8E472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“三公”经费财政拨款支出预算控制数为0万元，支出决算为0万元，决算数与年初预算数持平，其中：</w:t>
      </w:r>
    </w:p>
    <w:p w14:paraId="456EF8CD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1、因公出国（境）费支出预算控制数为0万元，支出决算为0万元，决算数与年初预算数持平，主要原因按预算执行，与上年数持平，主要原因本年度未安排因公出国（境）。</w:t>
      </w:r>
    </w:p>
    <w:p w14:paraId="69F5971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2、公务接待费支出预算控制数为0万元，支出决算为0万元，决算数与年初预算数持平，主要原因按预算执行，与上年数持平，主要原因本年度未进行公务接待。</w:t>
      </w:r>
    </w:p>
    <w:p w14:paraId="3222372D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3、公务用车购置费及运行维护费支出预算控制数为0万元，支出决算为0万元，决算数与年初预算数持平主要原因按预算执行，与上年数持平，主要原因是厉行节约，减少开支。</w:t>
      </w:r>
    </w:p>
    <w:p w14:paraId="71FB4D99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（2）会议费支出情况。</w:t>
      </w:r>
    </w:p>
    <w:p w14:paraId="5CFC3BFD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会议费支出预算控制数为0万元，支出决算为0万元，决算数与年初预算数持平，主要原因按预算执行，与上年数持平，主要原因是厉行节约，减少开支。</w:t>
      </w:r>
    </w:p>
    <w:p w14:paraId="71C61848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（3）培训费支出情况。</w:t>
      </w:r>
    </w:p>
    <w:p w14:paraId="6591B368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培训费支出预算控制数为0万元，支出决算为0万元，决算数与年初预算数持平，主要原因按预算执行，与上年数持平，主要原因是厉行节约，减少开支。</w:t>
      </w:r>
    </w:p>
    <w:p w14:paraId="5C5C270B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（4）重点经济分类支出中存在的问题及改进措施。</w:t>
      </w:r>
    </w:p>
    <w:p w14:paraId="37DC360E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无。</w:t>
      </w:r>
    </w:p>
    <w:p w14:paraId="01F5E1E6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（二）“三公”经费财政拨款支出决算具体情况说明</w:t>
      </w:r>
    </w:p>
    <w:p w14:paraId="660E4D5D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2024年度“三公”经费财政拨款支出决算中，公务接待费支出决算0万元，占0%,因公出国（境）费支出决算0万元，占0%,公务用车购置费及运行维护费支出决算0万元，占0%。其中：</w:t>
      </w:r>
    </w:p>
    <w:p w14:paraId="313299F1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1、因公出国（境）费支出决算为0万元，全年安排因公出国（境）团组0个，累计0人次。</w:t>
      </w:r>
    </w:p>
    <w:p w14:paraId="1ADE0CFB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2、公务接待费支出决算为0万元，全年共接待来访团组0个、来宾0人次。</w:t>
      </w:r>
    </w:p>
    <w:p w14:paraId="6292F252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3、公务用车购置费及运行维护费支出决算为0万元，其中：公务用车购置费0万元，更新公务用车0辆。公务用车运行维护费0万元。截止2024年12月31日，我单位开支财政拨款的公务用车保有量为0辆。</w:t>
      </w:r>
    </w:p>
    <w:p w14:paraId="575045F7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八、政府性基金预算收入支出决算情况</w:t>
      </w:r>
    </w:p>
    <w:p w14:paraId="53F732C5">
      <w:pPr>
        <w:pStyle w:val="17"/>
        <w:keepNext w:val="0"/>
        <w:keepLines w:val="0"/>
        <w:pageBreakBefore w:val="0"/>
        <w:widowControl w:val="0"/>
        <w:tabs>
          <w:tab w:val="center" w:pos="4513"/>
        </w:tabs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本单位无政府性基金收支。</w:t>
      </w:r>
    </w:p>
    <w:p w14:paraId="4671BD6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九、国有资本经营预算收入支出决算情况</w:t>
      </w:r>
    </w:p>
    <w:p w14:paraId="7D3D0B27">
      <w:pPr>
        <w:pStyle w:val="17"/>
        <w:keepNext w:val="0"/>
        <w:keepLines w:val="0"/>
        <w:pageBreakBefore w:val="0"/>
        <w:widowControl w:val="0"/>
        <w:tabs>
          <w:tab w:val="center" w:pos="4513"/>
        </w:tabs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本单位无国有资本经营收支。</w:t>
      </w:r>
    </w:p>
    <w:p w14:paraId="287F00B3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十、关于机关运行经费支出说明</w:t>
      </w:r>
    </w:p>
    <w:p w14:paraId="607E4552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本部门2024年度机关运行经费支出0万元，我单位为公益一类事业单位，不属于行政单位和参照公务员法管理事业单位，故无机关运行经费支出。</w:t>
      </w:r>
    </w:p>
    <w:p w14:paraId="1B11216B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十一、一般性支出情况说明</w:t>
      </w:r>
    </w:p>
    <w:p w14:paraId="4586EC3A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2024年本部门开支会议费0万元，未召开会议；开支培训费0万元，用于2024年度事业单位线上学习培训，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highlight w:val="none"/>
          <w:lang w:val="en-US" w:eastAsia="zh-CN" w:bidi="ar-SA"/>
        </w:rPr>
        <w:t>人数0人，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内容为公共科目以及专业科目。公共科目培训主题为习近平新时代中国特色社会主义思想，专业科目培训主题由各事业单位结合自身工作自行确定；2024年本部门未举办节庆、晚会、论坛、赛事等活动。</w:t>
      </w:r>
    </w:p>
    <w:p w14:paraId="20322ECA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十二、关于政府采购支出说明</w:t>
      </w:r>
    </w:p>
    <w:p w14:paraId="6A23049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本部门2024年度政府采购支出总额169.90万元，其中：政府采购货物支出121.88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万元、政府采购工程支出0万元、政府采购服务支出48.02万元。授予中小企业合同金额169.90万元，占政府采购支出总额的100%，其中：授予小微企业合同金额0万元，占授予中小企业合同金额的0%。</w:t>
      </w:r>
    </w:p>
    <w:p w14:paraId="16A0402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十</w:t>
      </w:r>
      <w:r>
        <w:rPr>
          <w:rFonts w:hint="eastAsia" w:hAnsi="黑体" w:cs="黑体"/>
          <w:b w:val="0"/>
          <w:bCs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、关于国有资产占用情况说明</w:t>
      </w:r>
    </w:p>
    <w:p w14:paraId="377C4CEE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截至2024年12月31日，本单位共有车辆0辆，其中，主要领导干部用车0辆，机要通信用车0辆、应急保障用车0辆、执法执勤用车0辆、特种专业技术用车0辆、其他用车0辆；单位价值50万元以上通用设备0台（套）；单位价值100万元以上专用设备0台（套）。</w:t>
      </w:r>
    </w:p>
    <w:p w14:paraId="46945E97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十</w:t>
      </w:r>
      <w:r>
        <w:rPr>
          <w:rFonts w:hint="eastAsia" w:hAnsi="黑体" w:cs="黑体"/>
          <w:b w:val="0"/>
          <w:bCs/>
          <w:color w:val="auto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、关于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年度</w:t>
      </w:r>
      <w:r>
        <w:rPr>
          <w:rFonts w:hint="eastAsia" w:hAnsi="黑体" w:cs="黑体"/>
          <w:b w:val="0"/>
          <w:bCs/>
          <w:color w:val="auto"/>
          <w:sz w:val="32"/>
          <w:szCs w:val="32"/>
          <w:lang w:eastAsia="zh-CN"/>
        </w:rPr>
        <w:t>预算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绩效情况的说明</w:t>
      </w:r>
    </w:p>
    <w:p w14:paraId="0A95ACFA">
      <w:pPr>
        <w:spacing w:line="560" w:lineRule="exact"/>
        <w:ind w:firstLine="640" w:firstLineChars="200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1、绩效管理工作开展情况</w:t>
      </w:r>
    </w:p>
    <w:p w14:paraId="356DEB8B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本单位积极开展预算绩效管理工作，设定了绩效目标，对2024年部门整体运行及支出情况进行了自查自评，本单位顺利完成项目绩效目标评价和2024年整体支出绩效评价工作。</w:t>
      </w:r>
    </w:p>
    <w:p w14:paraId="1CEF5E79">
      <w:pPr>
        <w:spacing w:line="560" w:lineRule="exact"/>
        <w:ind w:firstLine="640" w:firstLineChars="200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2、当年预算执行及绩效管理中存在问题、原因及改进措施。</w:t>
      </w:r>
    </w:p>
    <w:p w14:paraId="619FA85A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zh-TW" w:eastAsia="zh-TW" w:bidi="ar-SA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预算绩效管理工作有待加强。预算绩效管理工作虽有所推进，但仍存短板，一是绩效目标编制不规范。绩效目标的规划不够精确且量化不足，过分侧重于定性评价，数量化的明确指标稀缺，加之部门整体支出的自评水平尚待提高。二是绩效管理理念有待进一步增强。强化绩效管理理念，需明确战略目标，优化管理流程，加强职工沟通，注重结果反馈，形成持续改进的文化。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zh-TW" w:eastAsia="zh-TW" w:bidi="ar-SA"/>
        </w:rPr>
        <w:t>。</w:t>
      </w:r>
    </w:p>
    <w:p w14:paraId="6C745D34">
      <w:pPr>
        <w:pStyle w:val="17"/>
        <w:jc w:val="center"/>
        <w:rPr>
          <w:sz w:val="72"/>
          <w:szCs w:val="72"/>
        </w:rPr>
      </w:pPr>
    </w:p>
    <w:p w14:paraId="18F5E238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第四部分</w:t>
      </w:r>
    </w:p>
    <w:p w14:paraId="5833E670">
      <w:pPr>
        <w:pStyle w:val="2"/>
        <w:rPr>
          <w:rFonts w:hint="eastAsia"/>
        </w:rPr>
      </w:pPr>
    </w:p>
    <w:p w14:paraId="5DCFD1DB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名词解释</w:t>
      </w:r>
    </w:p>
    <w:p w14:paraId="27D7FDDC">
      <w:pPr>
        <w:pStyle w:val="17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291B3FC9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10"/>
          <w:kern w:val="2"/>
          <w:sz w:val="32"/>
          <w:szCs w:val="32"/>
          <w:lang w:val="zh-TW" w:eastAsia="zh-TW" w:bidi="ar-SA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一、机关运行经费：</w:t>
      </w:r>
      <w:r>
        <w:rPr>
          <w:rFonts w:hint="eastAsia" w:ascii="仿宋" w:hAnsi="仿宋" w:eastAsia="仿宋" w:cs="仿宋"/>
          <w:color w:val="auto"/>
          <w:spacing w:val="10"/>
          <w:kern w:val="2"/>
          <w:sz w:val="32"/>
          <w:szCs w:val="32"/>
          <w:lang w:val="zh-TW" w:eastAsia="zh-TW" w:bidi="ar-SA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34DAF44A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二、“三公”经费：</w:t>
      </w:r>
      <w:r>
        <w:rPr>
          <w:rFonts w:hint="eastAsia" w:ascii="仿宋" w:hAnsi="仿宋" w:eastAsia="仿宋" w:cs="仿宋"/>
          <w:color w:val="auto"/>
          <w:spacing w:val="10"/>
          <w:kern w:val="2"/>
          <w:sz w:val="32"/>
          <w:szCs w:val="32"/>
          <w:lang w:val="zh-TW" w:eastAsia="zh-TW" w:bidi="ar-SA"/>
        </w:rPr>
        <w:t>纳入财政预算管理的“三公”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4E659AA9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</w:p>
    <w:p w14:paraId="78CFEC0D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第</w:t>
      </w:r>
      <w:r>
        <w:rPr>
          <w:rFonts w:hint="eastAsia" w:ascii="黑体" w:hAnsi="黑体" w:eastAsia="黑体" w:cs="Times New Roman"/>
          <w:kern w:val="0"/>
          <w:sz w:val="44"/>
          <w:szCs w:val="44"/>
          <w:lang w:eastAsia="zh-CN"/>
        </w:rPr>
        <w:t>五</w:t>
      </w:r>
      <w:r>
        <w:rPr>
          <w:rFonts w:hint="eastAsia" w:ascii="黑体" w:hAnsi="黑体" w:eastAsia="黑体" w:cs="Times New Roman"/>
          <w:kern w:val="0"/>
          <w:sz w:val="44"/>
          <w:szCs w:val="44"/>
        </w:rPr>
        <w:t>部分</w:t>
      </w:r>
    </w:p>
    <w:p w14:paraId="0A22B69A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</w:rPr>
      </w:pPr>
    </w:p>
    <w:p w14:paraId="10449343">
      <w:pPr>
        <w:widowControl/>
        <w:spacing w:line="600" w:lineRule="exact"/>
        <w:ind w:firstLine="880" w:firstLineChars="200"/>
        <w:jc w:val="center"/>
        <w:rPr>
          <w:rFonts w:hint="eastAsia" w:ascii="黑体" w:hAnsi="黑体" w:eastAsia="黑体" w:cs="Times New Roman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Times New Roman"/>
          <w:kern w:val="0"/>
          <w:sz w:val="44"/>
          <w:szCs w:val="44"/>
          <w:lang w:eastAsia="zh-CN"/>
        </w:rPr>
        <w:t>附</w:t>
      </w:r>
      <w:r>
        <w:rPr>
          <w:rFonts w:hint="eastAsia" w:ascii="黑体" w:hAnsi="黑体" w:eastAsia="黑体" w:cs="Times New Roman"/>
          <w:kern w:val="0"/>
          <w:sz w:val="44"/>
          <w:szCs w:val="44"/>
          <w:lang w:val="en-US" w:eastAsia="zh-CN"/>
        </w:rPr>
        <w:t xml:space="preserve">  </w:t>
      </w:r>
      <w:r>
        <w:rPr>
          <w:rFonts w:hint="eastAsia" w:ascii="黑体" w:hAnsi="黑体" w:eastAsia="黑体" w:cs="Times New Roman"/>
          <w:kern w:val="0"/>
          <w:sz w:val="44"/>
          <w:szCs w:val="44"/>
          <w:lang w:eastAsia="zh-CN"/>
        </w:rPr>
        <w:t>件</w:t>
      </w:r>
    </w:p>
    <w:p w14:paraId="3D2CCB9B">
      <w:pPr>
        <w:pStyle w:val="17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6E37628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Style w:val="14"/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FF"/>
          <w:sz w:val="32"/>
          <w:szCs w:val="32"/>
          <w:u w:val="single"/>
          <w:lang w:val="en-US" w:eastAsia="zh-CN"/>
        </w:rPr>
        <w:t>附件1：</w:t>
      </w:r>
      <w:r>
        <w:rPr>
          <w:rFonts w:hint="eastAsia" w:ascii="Times New Roman" w:hAnsi="Times New Roman" w:eastAsia="仿宋_GB2312" w:cs="Times New Roman"/>
          <w:color w:val="0000FF"/>
          <w:sz w:val="32"/>
          <w:szCs w:val="32"/>
          <w:u w:val="singl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color w:val="0000FF"/>
          <w:sz w:val="32"/>
          <w:szCs w:val="32"/>
          <w:u w:val="single"/>
          <w:lang w:val="en-US" w:eastAsia="zh-CN"/>
        </w:rPr>
        <w:instrText xml:space="preserve"> HYPERLINK "湖南怀化国家农业科技园区管理委员会(1).XLS" </w:instrText>
      </w:r>
      <w:r>
        <w:rPr>
          <w:rFonts w:hint="eastAsia" w:ascii="Times New Roman" w:hAnsi="Times New Roman" w:eastAsia="仿宋_GB2312" w:cs="Times New Roman"/>
          <w:color w:val="0000FF"/>
          <w:sz w:val="32"/>
          <w:szCs w:val="32"/>
          <w:u w:val="single"/>
          <w:lang w:val="en-US" w:eastAsia="zh-CN"/>
        </w:rPr>
        <w:fldChar w:fldCharType="separate"/>
      </w:r>
      <w:r>
        <w:rPr>
          <w:rStyle w:val="14"/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湖南怀化国家农业科技园区管理委员会2024年决算公开表</w:t>
      </w:r>
      <w:r>
        <w:rPr>
          <w:rFonts w:hint="eastAsia" w:ascii="Times New Roman" w:hAnsi="Times New Roman" w:eastAsia="仿宋_GB2312" w:cs="Times New Roman"/>
          <w:color w:val="0000FF"/>
          <w:sz w:val="32"/>
          <w:szCs w:val="32"/>
          <w:u w:val="single"/>
          <w:lang w:val="en-US" w:eastAsia="zh-CN"/>
        </w:rPr>
        <w:fldChar w:fldCharType="end"/>
      </w:r>
    </w:p>
    <w:p w14:paraId="1C482C51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instrText xml:space="preserve"> HYPERLINK "2024年绩效评价报告.doc" </w:instrTex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fldChar w:fldCharType="separate"/>
      </w:r>
      <w:r>
        <w:rPr>
          <w:rStyle w:val="14"/>
          <w:rFonts w:hint="eastAsia" w:ascii="Times New Roman" w:hAnsi="Times New Roman" w:eastAsia="仿宋_GB2312"/>
          <w:sz w:val="32"/>
          <w:szCs w:val="32"/>
          <w:lang w:val="en-US" w:eastAsia="zh-CN"/>
        </w:rPr>
        <w:t>附件2：湖南怀化国家农业科技园区管理委员会2024年部门整体支出绩效评价报告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fldChar w:fldCharType="end"/>
      </w:r>
    </w:p>
    <w:sectPr>
      <w:pgSz w:w="11906" w:h="16838"/>
      <w:pgMar w:top="1803" w:right="1440" w:bottom="1803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F8D963"/>
    <w:multiLevelType w:val="singleLevel"/>
    <w:tmpl w:val="76F8D963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xNjIxZDhmMTAwMWJlZWQyN2ZjMDVmZjJkNjUwMGEifQ=="/>
  </w:docVars>
  <w:rsids>
    <w:rsidRoot w:val="004506F9"/>
    <w:rsid w:val="0002229B"/>
    <w:rsid w:val="000273BD"/>
    <w:rsid w:val="00040CBC"/>
    <w:rsid w:val="000415B7"/>
    <w:rsid w:val="00041E3F"/>
    <w:rsid w:val="00055DAA"/>
    <w:rsid w:val="00061F7B"/>
    <w:rsid w:val="000658A3"/>
    <w:rsid w:val="00074155"/>
    <w:rsid w:val="000A3F69"/>
    <w:rsid w:val="00103957"/>
    <w:rsid w:val="00152C6D"/>
    <w:rsid w:val="00162D39"/>
    <w:rsid w:val="001678BD"/>
    <w:rsid w:val="00182373"/>
    <w:rsid w:val="001A67DB"/>
    <w:rsid w:val="001C3C29"/>
    <w:rsid w:val="001D51E5"/>
    <w:rsid w:val="001E080D"/>
    <w:rsid w:val="001E53D0"/>
    <w:rsid w:val="001F0C3B"/>
    <w:rsid w:val="00202C82"/>
    <w:rsid w:val="00214427"/>
    <w:rsid w:val="00226CB7"/>
    <w:rsid w:val="00264552"/>
    <w:rsid w:val="00264EF9"/>
    <w:rsid w:val="00265724"/>
    <w:rsid w:val="0027426B"/>
    <w:rsid w:val="002E0A30"/>
    <w:rsid w:val="003130C4"/>
    <w:rsid w:val="00316C4B"/>
    <w:rsid w:val="0032192B"/>
    <w:rsid w:val="003479BD"/>
    <w:rsid w:val="0037197D"/>
    <w:rsid w:val="003768D5"/>
    <w:rsid w:val="003926B9"/>
    <w:rsid w:val="003C47E6"/>
    <w:rsid w:val="003C4FC2"/>
    <w:rsid w:val="00416E61"/>
    <w:rsid w:val="0042790C"/>
    <w:rsid w:val="004506F9"/>
    <w:rsid w:val="004717A2"/>
    <w:rsid w:val="00473DF3"/>
    <w:rsid w:val="00487911"/>
    <w:rsid w:val="00491741"/>
    <w:rsid w:val="004B0CEE"/>
    <w:rsid w:val="00500E5F"/>
    <w:rsid w:val="005122EF"/>
    <w:rsid w:val="0051441A"/>
    <w:rsid w:val="00517C33"/>
    <w:rsid w:val="00517D5F"/>
    <w:rsid w:val="00523644"/>
    <w:rsid w:val="0054069E"/>
    <w:rsid w:val="00544866"/>
    <w:rsid w:val="005767CC"/>
    <w:rsid w:val="00590D9F"/>
    <w:rsid w:val="00595D26"/>
    <w:rsid w:val="005A74E6"/>
    <w:rsid w:val="005B404E"/>
    <w:rsid w:val="005D4D55"/>
    <w:rsid w:val="005E2CFB"/>
    <w:rsid w:val="005F2103"/>
    <w:rsid w:val="005F3D1C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0FE7"/>
    <w:rsid w:val="00717621"/>
    <w:rsid w:val="00720FF1"/>
    <w:rsid w:val="00727A53"/>
    <w:rsid w:val="00787B42"/>
    <w:rsid w:val="007C4539"/>
    <w:rsid w:val="007F3657"/>
    <w:rsid w:val="00812ED5"/>
    <w:rsid w:val="008277D9"/>
    <w:rsid w:val="0084478C"/>
    <w:rsid w:val="0086638C"/>
    <w:rsid w:val="008A3E8D"/>
    <w:rsid w:val="009237C4"/>
    <w:rsid w:val="00944C48"/>
    <w:rsid w:val="00950252"/>
    <w:rsid w:val="00967F5D"/>
    <w:rsid w:val="009A0F95"/>
    <w:rsid w:val="009B3ADF"/>
    <w:rsid w:val="009C3B52"/>
    <w:rsid w:val="009E6817"/>
    <w:rsid w:val="009E6E9A"/>
    <w:rsid w:val="00A01D2B"/>
    <w:rsid w:val="00A42218"/>
    <w:rsid w:val="00A70249"/>
    <w:rsid w:val="00A70B02"/>
    <w:rsid w:val="00A71D9F"/>
    <w:rsid w:val="00A92E9F"/>
    <w:rsid w:val="00AB18FF"/>
    <w:rsid w:val="00B33BEA"/>
    <w:rsid w:val="00B561ED"/>
    <w:rsid w:val="00B57C9F"/>
    <w:rsid w:val="00B63572"/>
    <w:rsid w:val="00B845B3"/>
    <w:rsid w:val="00B85D8B"/>
    <w:rsid w:val="00BB4A40"/>
    <w:rsid w:val="00BD6C3E"/>
    <w:rsid w:val="00BE3674"/>
    <w:rsid w:val="00C10681"/>
    <w:rsid w:val="00C3049A"/>
    <w:rsid w:val="00C31B1E"/>
    <w:rsid w:val="00C77645"/>
    <w:rsid w:val="00CE04C3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683C"/>
    <w:rsid w:val="00EA2B72"/>
    <w:rsid w:val="00F74360"/>
    <w:rsid w:val="00FB462F"/>
    <w:rsid w:val="00FE16FA"/>
    <w:rsid w:val="00FE328A"/>
    <w:rsid w:val="00FE6269"/>
    <w:rsid w:val="00FF5CD6"/>
    <w:rsid w:val="05703E7C"/>
    <w:rsid w:val="08174DCE"/>
    <w:rsid w:val="103F5AD3"/>
    <w:rsid w:val="11CD7A3C"/>
    <w:rsid w:val="15F93A4F"/>
    <w:rsid w:val="17F93AF7"/>
    <w:rsid w:val="186715DB"/>
    <w:rsid w:val="196F62FD"/>
    <w:rsid w:val="19F759A6"/>
    <w:rsid w:val="1C3654FC"/>
    <w:rsid w:val="1D97DEFF"/>
    <w:rsid w:val="1DFF72E5"/>
    <w:rsid w:val="1EFC6F07"/>
    <w:rsid w:val="1FBE3BA7"/>
    <w:rsid w:val="238B30B1"/>
    <w:rsid w:val="26A02DDC"/>
    <w:rsid w:val="297B3BC8"/>
    <w:rsid w:val="2D6F4E90"/>
    <w:rsid w:val="2E904EC2"/>
    <w:rsid w:val="2FDF85B8"/>
    <w:rsid w:val="2FFFEE04"/>
    <w:rsid w:val="30134B5A"/>
    <w:rsid w:val="32123D31"/>
    <w:rsid w:val="34DF85B0"/>
    <w:rsid w:val="35B5357D"/>
    <w:rsid w:val="376B75FE"/>
    <w:rsid w:val="39862EF1"/>
    <w:rsid w:val="3A0B5FB6"/>
    <w:rsid w:val="3B8F36BC"/>
    <w:rsid w:val="3C9B0B10"/>
    <w:rsid w:val="3EC94364"/>
    <w:rsid w:val="3F0100E9"/>
    <w:rsid w:val="414A56C0"/>
    <w:rsid w:val="4606574C"/>
    <w:rsid w:val="47060671"/>
    <w:rsid w:val="48EE0D82"/>
    <w:rsid w:val="491FF225"/>
    <w:rsid w:val="49320E3E"/>
    <w:rsid w:val="49A74393"/>
    <w:rsid w:val="4A39756E"/>
    <w:rsid w:val="4E0F4D20"/>
    <w:rsid w:val="4E8B1908"/>
    <w:rsid w:val="4F841C44"/>
    <w:rsid w:val="4FFD214C"/>
    <w:rsid w:val="515406D7"/>
    <w:rsid w:val="515C0243"/>
    <w:rsid w:val="51BC686B"/>
    <w:rsid w:val="574003AA"/>
    <w:rsid w:val="5777D4F5"/>
    <w:rsid w:val="57D76009"/>
    <w:rsid w:val="59DD8326"/>
    <w:rsid w:val="5A3B1DC0"/>
    <w:rsid w:val="5DEF592A"/>
    <w:rsid w:val="5FC6BB1E"/>
    <w:rsid w:val="5FF720F1"/>
    <w:rsid w:val="63DF6A68"/>
    <w:rsid w:val="657038D9"/>
    <w:rsid w:val="67FF5C0B"/>
    <w:rsid w:val="6878332B"/>
    <w:rsid w:val="6A6A5BF7"/>
    <w:rsid w:val="6B321631"/>
    <w:rsid w:val="6B9D4CFC"/>
    <w:rsid w:val="6CE93F71"/>
    <w:rsid w:val="6EFC0924"/>
    <w:rsid w:val="6FB74722"/>
    <w:rsid w:val="6FEF8B7E"/>
    <w:rsid w:val="703A60CC"/>
    <w:rsid w:val="706D1298"/>
    <w:rsid w:val="71A6591B"/>
    <w:rsid w:val="72A22A1E"/>
    <w:rsid w:val="737D59BA"/>
    <w:rsid w:val="747D06DD"/>
    <w:rsid w:val="749018A2"/>
    <w:rsid w:val="758136EA"/>
    <w:rsid w:val="76FA1255"/>
    <w:rsid w:val="775952B2"/>
    <w:rsid w:val="77C37683"/>
    <w:rsid w:val="788F15E9"/>
    <w:rsid w:val="78CD185E"/>
    <w:rsid w:val="799B65F3"/>
    <w:rsid w:val="79E4560A"/>
    <w:rsid w:val="79FF515B"/>
    <w:rsid w:val="7A9C0DCE"/>
    <w:rsid w:val="7CAC26B0"/>
    <w:rsid w:val="7D5416FA"/>
    <w:rsid w:val="7E9E1962"/>
    <w:rsid w:val="7E9F11B4"/>
    <w:rsid w:val="7F323EA9"/>
    <w:rsid w:val="7F37EC1E"/>
    <w:rsid w:val="7F7DCD9D"/>
    <w:rsid w:val="7F970A6F"/>
    <w:rsid w:val="7FC1FFF3"/>
    <w:rsid w:val="7FC69637"/>
    <w:rsid w:val="7FDF8620"/>
    <w:rsid w:val="7FFB242F"/>
    <w:rsid w:val="7FFDB408"/>
    <w:rsid w:val="7FFE4EEB"/>
    <w:rsid w:val="95FB2B98"/>
    <w:rsid w:val="9A639BC2"/>
    <w:rsid w:val="9FF7D786"/>
    <w:rsid w:val="ABBFB23D"/>
    <w:rsid w:val="C3B4DA5A"/>
    <w:rsid w:val="CBFF70E0"/>
    <w:rsid w:val="CFF50B82"/>
    <w:rsid w:val="CFFFAD89"/>
    <w:rsid w:val="DFFE359E"/>
    <w:rsid w:val="DFFE4FFD"/>
    <w:rsid w:val="EEABED75"/>
    <w:rsid w:val="F56FDF51"/>
    <w:rsid w:val="F6B69F17"/>
    <w:rsid w:val="F77F1D61"/>
    <w:rsid w:val="F7FED3A9"/>
    <w:rsid w:val="F8C9DB26"/>
    <w:rsid w:val="F97E8EAE"/>
    <w:rsid w:val="FB36E1A6"/>
    <w:rsid w:val="FB3BE134"/>
    <w:rsid w:val="FCFF4275"/>
    <w:rsid w:val="FD7FEEEA"/>
    <w:rsid w:val="FDFFB577"/>
    <w:rsid w:val="FEEA50FE"/>
    <w:rsid w:val="FF7D47A9"/>
    <w:rsid w:val="FFCF21CB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basedOn w:val="3"/>
    <w:qFormat/>
    <w:uiPriority w:val="0"/>
    <w:pPr>
      <w:ind w:firstLine="100" w:firstLineChars="100"/>
    </w:pPr>
  </w:style>
  <w:style w:type="paragraph" w:customStyle="1" w:styleId="3">
    <w:name w:val="BodyText"/>
    <w:basedOn w:val="1"/>
    <w:qFormat/>
    <w:uiPriority w:val="0"/>
    <w:pPr>
      <w:spacing w:after="120"/>
    </w:pPr>
  </w:style>
  <w:style w:type="paragraph" w:styleId="4">
    <w:name w:val="Body Text Indent"/>
    <w:basedOn w:val="1"/>
    <w:next w:val="5"/>
    <w:unhideWhenUsed/>
    <w:qFormat/>
    <w:uiPriority w:val="99"/>
    <w:pPr>
      <w:widowControl/>
      <w:spacing w:after="120"/>
      <w:ind w:left="420" w:leftChars="200"/>
      <w:jc w:val="left"/>
    </w:pPr>
    <w:rPr>
      <w:rFonts w:ascii="宋体" w:hAnsi="宋体" w:eastAsia="宋体" w:cs="宋体"/>
      <w:kern w:val="0"/>
      <w:sz w:val="24"/>
    </w:rPr>
  </w:style>
  <w:style w:type="paragraph" w:styleId="5">
    <w:name w:val="Body Text First Indent 2"/>
    <w:basedOn w:val="4"/>
    <w:next w:val="1"/>
    <w:unhideWhenUsed/>
    <w:qFormat/>
    <w:uiPriority w:val="99"/>
    <w:pPr>
      <w:ind w:firstLine="420" w:firstLineChars="200"/>
    </w:p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next w:val="5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10">
    <w:name w:val="Normal (Web)"/>
    <w:qFormat/>
    <w:uiPriority w:val="0"/>
    <w:pPr>
      <w:widowControl w:val="0"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styleId="13">
    <w:name w:val="FollowedHyperlink"/>
    <w:basedOn w:val="12"/>
    <w:semiHidden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character" w:customStyle="1" w:styleId="15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20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1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4795</Words>
  <Characters>5220</Characters>
  <Lines>63</Lines>
  <Paragraphs>18</Paragraphs>
  <TotalTime>27</TotalTime>
  <ScaleCrop>false</ScaleCrop>
  <LinksUpToDate>false</LinksUpToDate>
  <CharactersWithSpaces>5232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2020-07-08T02:32:00Z</dcterms:created>
  <dc:creator>李航 null</dc:creator>
  <cp:lastModifiedBy>u</cp:lastModifiedBy>
  <cp:lastPrinted>2024-09-09T08:18:00Z</cp:lastPrinted>
  <dcterms:modified xsi:type="dcterms:W3CDTF">2025-09-19T01:31:40Z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6EEB0F58B41A4E5F87DDECD4FB80729C_13</vt:lpwstr>
  </property>
  <property fmtid="{D5CDD505-2E9C-101B-9397-08002B2CF9AE}" pid="4" name="KSOTemplateDocerSaveRecord">
    <vt:lpwstr>eyJoZGlkIjoiYTYxNjIxZDhmMTAwMWJlZWQyN2ZjMDVmZjJkNjUwMGEiLCJ1c2VySWQiOiIyNDM1MDQ0ODYifQ==</vt:lpwstr>
  </property>
</Properties>
</file>