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1D162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附件3</w:t>
      </w:r>
    </w:p>
    <w:p w14:paraId="193426F3">
      <w:pPr>
        <w:keepNext w:val="0"/>
        <w:keepLines w:val="0"/>
        <w:pageBreakBefore w:val="0"/>
        <w:widowControl/>
        <w:shd w:val="clear"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default" w:ascii="Times New Roman" w:hAnsi="Times New Roman" w:eastAsia="方正小标宋_GBK" w:cs="Times New Roman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项目支出绩效自评表</w:t>
      </w:r>
    </w:p>
    <w:p w14:paraId="794D5781">
      <w:pPr>
        <w:widowControl w:val="0"/>
        <w:shd w:val="clear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填表人：周小龙          填报日期：2025年6月10日        联系电话：2731302</w:t>
      </w:r>
    </w:p>
    <w:tbl>
      <w:tblPr>
        <w:tblStyle w:val="11"/>
        <w:tblW w:w="96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09"/>
        <w:gridCol w:w="1220"/>
        <w:gridCol w:w="1209"/>
        <w:gridCol w:w="1234"/>
        <w:gridCol w:w="728"/>
        <w:gridCol w:w="873"/>
        <w:gridCol w:w="1200"/>
      </w:tblGrid>
      <w:tr w14:paraId="52569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080" w:type="dxa"/>
            <w:noWrap w:val="0"/>
            <w:vAlign w:val="center"/>
          </w:tcPr>
          <w:p w14:paraId="02E1A18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项目支</w:t>
            </w:r>
          </w:p>
          <w:p w14:paraId="2C8ADDA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出名称</w:t>
            </w:r>
          </w:p>
        </w:tc>
        <w:tc>
          <w:tcPr>
            <w:tcW w:w="8553" w:type="dxa"/>
            <w:gridSpan w:val="8"/>
            <w:noWrap w:val="0"/>
            <w:vAlign w:val="center"/>
          </w:tcPr>
          <w:p w14:paraId="074B5CF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电力执法工作经费</w:t>
            </w:r>
          </w:p>
        </w:tc>
      </w:tr>
      <w:tr w14:paraId="58494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322DCF2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388B036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怀化市工业和信息化局</w:t>
            </w:r>
          </w:p>
        </w:tc>
        <w:tc>
          <w:tcPr>
            <w:tcW w:w="1234" w:type="dxa"/>
            <w:noWrap w:val="0"/>
            <w:vAlign w:val="center"/>
          </w:tcPr>
          <w:p w14:paraId="4851F68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801" w:type="dxa"/>
            <w:gridSpan w:val="3"/>
            <w:noWrap w:val="0"/>
            <w:vAlign w:val="center"/>
          </w:tcPr>
          <w:p w14:paraId="4FD13D8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怀化市工业和信息化局</w:t>
            </w:r>
          </w:p>
        </w:tc>
      </w:tr>
      <w:tr w14:paraId="61AA8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CEA0C7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 w14:paraId="73F403A2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0" w:type="dxa"/>
            <w:noWrap w:val="0"/>
            <w:vAlign w:val="center"/>
          </w:tcPr>
          <w:p w14:paraId="349AC07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年初</w:t>
            </w:r>
          </w:p>
          <w:p w14:paraId="79E99D14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6FD79C3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全年</w:t>
            </w:r>
          </w:p>
          <w:p w14:paraId="7CCA08B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预算数</w:t>
            </w:r>
          </w:p>
        </w:tc>
        <w:tc>
          <w:tcPr>
            <w:tcW w:w="1234" w:type="dxa"/>
            <w:noWrap w:val="0"/>
            <w:vAlign w:val="center"/>
          </w:tcPr>
          <w:p w14:paraId="11F661E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全年</w:t>
            </w:r>
          </w:p>
          <w:p w14:paraId="7BB96D4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执行数</w:t>
            </w:r>
          </w:p>
        </w:tc>
        <w:tc>
          <w:tcPr>
            <w:tcW w:w="728" w:type="dxa"/>
            <w:noWrap w:val="0"/>
            <w:vAlign w:val="center"/>
          </w:tcPr>
          <w:p w14:paraId="6B0F3DD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0D8A4274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执行率</w:t>
            </w:r>
          </w:p>
        </w:tc>
        <w:tc>
          <w:tcPr>
            <w:tcW w:w="1200" w:type="dxa"/>
            <w:noWrap w:val="0"/>
            <w:vAlign w:val="center"/>
          </w:tcPr>
          <w:p w14:paraId="0FF5740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得分</w:t>
            </w:r>
          </w:p>
        </w:tc>
      </w:tr>
      <w:tr w14:paraId="3C8F5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B6BE6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9" w:type="dxa"/>
            <w:gridSpan w:val="2"/>
            <w:noWrap w:val="0"/>
            <w:vAlign w:val="center"/>
          </w:tcPr>
          <w:p w14:paraId="024BCD8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年度资金总额　</w:t>
            </w:r>
          </w:p>
        </w:tc>
        <w:tc>
          <w:tcPr>
            <w:tcW w:w="1220" w:type="dxa"/>
            <w:noWrap w:val="0"/>
            <w:vAlign w:val="center"/>
          </w:tcPr>
          <w:p w14:paraId="465E552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7万元</w:t>
            </w:r>
          </w:p>
        </w:tc>
        <w:tc>
          <w:tcPr>
            <w:tcW w:w="1209" w:type="dxa"/>
            <w:noWrap w:val="0"/>
            <w:vAlign w:val="center"/>
          </w:tcPr>
          <w:p w14:paraId="3784AA9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3.5万元</w:t>
            </w:r>
          </w:p>
        </w:tc>
        <w:tc>
          <w:tcPr>
            <w:tcW w:w="1234" w:type="dxa"/>
            <w:noWrap w:val="0"/>
            <w:vAlign w:val="center"/>
          </w:tcPr>
          <w:p w14:paraId="549E236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3.5万元</w:t>
            </w:r>
          </w:p>
        </w:tc>
        <w:tc>
          <w:tcPr>
            <w:tcW w:w="728" w:type="dxa"/>
            <w:noWrap w:val="0"/>
            <w:vAlign w:val="center"/>
          </w:tcPr>
          <w:p w14:paraId="3A8CEB9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45A477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50%</w:t>
            </w:r>
          </w:p>
        </w:tc>
        <w:tc>
          <w:tcPr>
            <w:tcW w:w="1200" w:type="dxa"/>
            <w:noWrap w:val="0"/>
            <w:vAlign w:val="center"/>
          </w:tcPr>
          <w:p w14:paraId="74BB612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</w:tr>
      <w:tr w14:paraId="66122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F52F9B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9" w:type="dxa"/>
            <w:gridSpan w:val="2"/>
            <w:noWrap w:val="0"/>
            <w:vAlign w:val="center"/>
          </w:tcPr>
          <w:p w14:paraId="0ED8701C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其中：当年财政拨款　</w:t>
            </w:r>
          </w:p>
        </w:tc>
        <w:tc>
          <w:tcPr>
            <w:tcW w:w="1220" w:type="dxa"/>
            <w:noWrap w:val="0"/>
            <w:vAlign w:val="center"/>
          </w:tcPr>
          <w:p w14:paraId="50AF6ED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7万元</w:t>
            </w:r>
          </w:p>
        </w:tc>
        <w:tc>
          <w:tcPr>
            <w:tcW w:w="1209" w:type="dxa"/>
            <w:noWrap w:val="0"/>
            <w:vAlign w:val="center"/>
          </w:tcPr>
          <w:p w14:paraId="1FB31A1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044E391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28" w:type="dxa"/>
            <w:noWrap w:val="0"/>
            <w:vAlign w:val="center"/>
          </w:tcPr>
          <w:p w14:paraId="1704CCD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3" w:type="dxa"/>
            <w:noWrap w:val="0"/>
            <w:vAlign w:val="center"/>
          </w:tcPr>
          <w:p w14:paraId="2E665F5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3E6E92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34FE2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BD417E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9" w:type="dxa"/>
            <w:gridSpan w:val="2"/>
            <w:noWrap w:val="0"/>
            <w:vAlign w:val="center"/>
          </w:tcPr>
          <w:p w14:paraId="666ED10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594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1"/>
                <w:szCs w:val="21"/>
              </w:rPr>
              <w:t>上年结转资金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20" w:type="dxa"/>
            <w:noWrap w:val="0"/>
            <w:vAlign w:val="center"/>
          </w:tcPr>
          <w:p w14:paraId="7EA19A22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E88A94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34B412A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4CD2C8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3" w:type="dxa"/>
            <w:noWrap w:val="0"/>
            <w:vAlign w:val="center"/>
          </w:tcPr>
          <w:p w14:paraId="1963720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729023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26CED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72B04F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9" w:type="dxa"/>
            <w:gridSpan w:val="2"/>
            <w:noWrap w:val="0"/>
            <w:vAlign w:val="center"/>
          </w:tcPr>
          <w:p w14:paraId="452B813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3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220" w:type="dxa"/>
            <w:noWrap w:val="0"/>
            <w:vAlign w:val="center"/>
          </w:tcPr>
          <w:p w14:paraId="4ED53C2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49E934A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34" w:type="dxa"/>
            <w:noWrap w:val="0"/>
            <w:vAlign w:val="center"/>
          </w:tcPr>
          <w:p w14:paraId="66AF21E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728" w:type="dxa"/>
            <w:noWrap w:val="0"/>
            <w:vAlign w:val="center"/>
          </w:tcPr>
          <w:p w14:paraId="49CB7D9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814EB4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00" w:type="dxa"/>
            <w:noWrap w:val="0"/>
            <w:vAlign w:val="center"/>
          </w:tcPr>
          <w:p w14:paraId="5209D55C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6F17B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F980AE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88204EC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035" w:type="dxa"/>
            <w:gridSpan w:val="4"/>
            <w:noWrap w:val="0"/>
            <w:vAlign w:val="center"/>
          </w:tcPr>
          <w:p w14:paraId="1600B40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实际完成情况　</w:t>
            </w:r>
          </w:p>
        </w:tc>
      </w:tr>
      <w:tr w14:paraId="5821F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0F11F8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23D205E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保障电力使用者合法权益，保障电力安全运行。　　</w:t>
            </w:r>
          </w:p>
        </w:tc>
        <w:tc>
          <w:tcPr>
            <w:tcW w:w="4035" w:type="dxa"/>
            <w:gridSpan w:val="4"/>
            <w:noWrap w:val="0"/>
            <w:vAlign w:val="center"/>
          </w:tcPr>
          <w:p w14:paraId="1602EBD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2024年全市依法打击盗窃国家电能和破坏用电秩序26起，追缴电费45万元，开展重点区域用电秩序专项整治1个，完成黄狮洞电站自供区接管，共接管6000多户客户，降低供电企业损失280余万元，增加企业售电量约6000多万千瓦时，创造经济效益1000多万元。完成会同县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小市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乡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1"/>
                <w:szCs w:val="21"/>
              </w:rPr>
              <w:t>村振兴点企业用电，给企业减负70余万元。</w:t>
            </w:r>
          </w:p>
        </w:tc>
      </w:tr>
      <w:tr w14:paraId="44A3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7E21EA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绩</w:t>
            </w:r>
          </w:p>
          <w:p w14:paraId="28232E1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效</w:t>
            </w:r>
          </w:p>
          <w:p w14:paraId="18E56704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指</w:t>
            </w:r>
          </w:p>
          <w:p w14:paraId="38945089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CCE17B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009" w:type="dxa"/>
            <w:noWrap w:val="0"/>
            <w:vAlign w:val="center"/>
          </w:tcPr>
          <w:p w14:paraId="5EA9A22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220" w:type="dxa"/>
            <w:noWrap w:val="0"/>
            <w:vAlign w:val="center"/>
          </w:tcPr>
          <w:p w14:paraId="0A830ED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014E0F32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年度</w:t>
            </w:r>
          </w:p>
          <w:p w14:paraId="371D2B24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234" w:type="dxa"/>
            <w:noWrap w:val="0"/>
            <w:vAlign w:val="center"/>
          </w:tcPr>
          <w:p w14:paraId="4EF1F58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实际</w:t>
            </w:r>
          </w:p>
          <w:p w14:paraId="3876174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728" w:type="dxa"/>
            <w:noWrap w:val="0"/>
            <w:vAlign w:val="center"/>
          </w:tcPr>
          <w:p w14:paraId="0B04B05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6566B599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得分</w:t>
            </w:r>
          </w:p>
        </w:tc>
        <w:tc>
          <w:tcPr>
            <w:tcW w:w="1200" w:type="dxa"/>
            <w:noWrap w:val="0"/>
            <w:vAlign w:val="center"/>
          </w:tcPr>
          <w:p w14:paraId="15DA3B9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偏差原因</w:t>
            </w:r>
          </w:p>
          <w:p w14:paraId="05495B1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分析及</w:t>
            </w:r>
          </w:p>
          <w:p w14:paraId="5E679429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改进措施</w:t>
            </w:r>
          </w:p>
        </w:tc>
      </w:tr>
      <w:tr w14:paraId="51107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8E97176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60E1F6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  <w:t>成本指标</w:t>
            </w:r>
          </w:p>
        </w:tc>
        <w:tc>
          <w:tcPr>
            <w:tcW w:w="1009" w:type="dxa"/>
            <w:noWrap w:val="0"/>
            <w:vAlign w:val="center"/>
          </w:tcPr>
          <w:p w14:paraId="71D3073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  <w:t>经济成本指标</w:t>
            </w:r>
          </w:p>
        </w:tc>
        <w:tc>
          <w:tcPr>
            <w:tcW w:w="1220" w:type="dxa"/>
            <w:noWrap w:val="0"/>
            <w:vAlign w:val="center"/>
          </w:tcPr>
          <w:p w14:paraId="59FEF31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经济成本控制额</w:t>
            </w:r>
          </w:p>
        </w:tc>
        <w:tc>
          <w:tcPr>
            <w:tcW w:w="1209" w:type="dxa"/>
            <w:noWrap w:val="0"/>
            <w:vAlign w:val="center"/>
          </w:tcPr>
          <w:p w14:paraId="555DACE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7万元</w:t>
            </w:r>
          </w:p>
        </w:tc>
        <w:tc>
          <w:tcPr>
            <w:tcW w:w="1234" w:type="dxa"/>
            <w:noWrap w:val="0"/>
            <w:vAlign w:val="center"/>
          </w:tcPr>
          <w:p w14:paraId="6A63BCA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=3.5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728" w:type="dxa"/>
            <w:noWrap w:val="0"/>
            <w:vAlign w:val="center"/>
          </w:tcPr>
          <w:p w14:paraId="40AF5072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0EAA99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00" w:type="dxa"/>
            <w:noWrap w:val="0"/>
            <w:vAlign w:val="center"/>
          </w:tcPr>
          <w:p w14:paraId="3FF075B9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49C86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66155A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EF2DF2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产出指标</w:t>
            </w:r>
          </w:p>
          <w:p w14:paraId="1364029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09" w:type="dxa"/>
            <w:vMerge w:val="restart"/>
            <w:noWrap w:val="0"/>
            <w:vAlign w:val="center"/>
          </w:tcPr>
          <w:p w14:paraId="68C1D42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数量</w:t>
            </w:r>
          </w:p>
          <w:p w14:paraId="5189E2A6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220" w:type="dxa"/>
            <w:noWrap w:val="0"/>
            <w:vAlign w:val="center"/>
          </w:tcPr>
          <w:p w14:paraId="1611813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开展重点区域用电秩序专项整治</w:t>
            </w:r>
          </w:p>
        </w:tc>
        <w:tc>
          <w:tcPr>
            <w:tcW w:w="1209" w:type="dxa"/>
            <w:noWrap w:val="0"/>
            <w:vAlign w:val="center"/>
          </w:tcPr>
          <w:p w14:paraId="13F9EE7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≥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1个</w:t>
            </w:r>
          </w:p>
        </w:tc>
        <w:tc>
          <w:tcPr>
            <w:tcW w:w="1234" w:type="dxa"/>
            <w:noWrap w:val="0"/>
            <w:vAlign w:val="center"/>
          </w:tcPr>
          <w:p w14:paraId="022FDC3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=1个</w:t>
            </w:r>
          </w:p>
        </w:tc>
        <w:tc>
          <w:tcPr>
            <w:tcW w:w="728" w:type="dxa"/>
            <w:noWrap w:val="0"/>
            <w:vAlign w:val="center"/>
          </w:tcPr>
          <w:p w14:paraId="25F2497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9E37BB9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00" w:type="dxa"/>
            <w:noWrap w:val="0"/>
            <w:vAlign w:val="center"/>
          </w:tcPr>
          <w:p w14:paraId="0332733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36F7E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C60DB9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9BF24FC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09" w:type="dxa"/>
            <w:vMerge w:val="continue"/>
            <w:noWrap w:val="0"/>
            <w:vAlign w:val="center"/>
          </w:tcPr>
          <w:p w14:paraId="1B0D37A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center"/>
          </w:tcPr>
          <w:p w14:paraId="01A3AB56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完成黄狮洞电站自供区接管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降低供电企业损失</w:t>
            </w:r>
          </w:p>
        </w:tc>
        <w:tc>
          <w:tcPr>
            <w:tcW w:w="1209" w:type="dxa"/>
            <w:noWrap w:val="0"/>
            <w:vAlign w:val="center"/>
          </w:tcPr>
          <w:p w14:paraId="32B5DE2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≥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280万元</w:t>
            </w:r>
          </w:p>
        </w:tc>
        <w:tc>
          <w:tcPr>
            <w:tcW w:w="1234" w:type="dxa"/>
            <w:noWrap w:val="0"/>
            <w:vAlign w:val="center"/>
          </w:tcPr>
          <w:p w14:paraId="6E85D8C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≥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280万元</w:t>
            </w:r>
          </w:p>
        </w:tc>
        <w:tc>
          <w:tcPr>
            <w:tcW w:w="728" w:type="dxa"/>
            <w:noWrap w:val="0"/>
            <w:vAlign w:val="center"/>
          </w:tcPr>
          <w:p w14:paraId="365B24C2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9780F2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00" w:type="dxa"/>
            <w:noWrap w:val="0"/>
            <w:vAlign w:val="center"/>
          </w:tcPr>
          <w:p w14:paraId="1B97EB8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6D3A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204697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3E47D5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495249B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质量</w:t>
            </w:r>
          </w:p>
          <w:p w14:paraId="4A874CE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220" w:type="dxa"/>
            <w:noWrap w:val="0"/>
            <w:vAlign w:val="center"/>
          </w:tcPr>
          <w:p w14:paraId="4E6AEB64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打击盗窃国家电能和破坏用电秩序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追缴电费</w:t>
            </w:r>
          </w:p>
        </w:tc>
        <w:tc>
          <w:tcPr>
            <w:tcW w:w="1209" w:type="dxa"/>
            <w:noWrap w:val="0"/>
            <w:vAlign w:val="center"/>
          </w:tcPr>
          <w:p w14:paraId="11C5244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≥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45万元</w:t>
            </w:r>
          </w:p>
        </w:tc>
        <w:tc>
          <w:tcPr>
            <w:tcW w:w="1234" w:type="dxa"/>
            <w:noWrap w:val="0"/>
            <w:vAlign w:val="center"/>
          </w:tcPr>
          <w:p w14:paraId="0A25A6A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=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kern w:val="0"/>
                <w:sz w:val="21"/>
                <w:szCs w:val="21"/>
                <w:highlight w:val="none"/>
                <w:lang w:val="en-US" w:eastAsia="zh-CN"/>
              </w:rPr>
              <w:t>45万元</w:t>
            </w:r>
          </w:p>
        </w:tc>
        <w:tc>
          <w:tcPr>
            <w:tcW w:w="728" w:type="dxa"/>
            <w:noWrap w:val="0"/>
            <w:vAlign w:val="center"/>
          </w:tcPr>
          <w:p w14:paraId="5E4735A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848481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00" w:type="dxa"/>
            <w:noWrap w:val="0"/>
            <w:vAlign w:val="center"/>
          </w:tcPr>
          <w:p w14:paraId="69538F6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454CB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D1C006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5073D89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5007512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时效</w:t>
            </w:r>
          </w:p>
          <w:p w14:paraId="154B96B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220" w:type="dxa"/>
            <w:noWrap w:val="0"/>
            <w:vAlign w:val="center"/>
          </w:tcPr>
          <w:p w14:paraId="3FDFB2E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完成时间</w:t>
            </w:r>
          </w:p>
        </w:tc>
        <w:tc>
          <w:tcPr>
            <w:tcW w:w="1209" w:type="dxa"/>
            <w:noWrap w:val="0"/>
            <w:vAlign w:val="center"/>
          </w:tcPr>
          <w:p w14:paraId="6AC6080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2024年12月31日前</w:t>
            </w:r>
          </w:p>
        </w:tc>
        <w:tc>
          <w:tcPr>
            <w:tcW w:w="1234" w:type="dxa"/>
            <w:noWrap w:val="0"/>
            <w:vAlign w:val="center"/>
          </w:tcPr>
          <w:p w14:paraId="040393E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2024年</w:t>
            </w:r>
          </w:p>
          <w:p w14:paraId="21C0153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12月31日</w:t>
            </w:r>
          </w:p>
        </w:tc>
        <w:tc>
          <w:tcPr>
            <w:tcW w:w="728" w:type="dxa"/>
            <w:noWrap w:val="0"/>
            <w:vAlign w:val="center"/>
          </w:tcPr>
          <w:p w14:paraId="53E0C37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A5A2F0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00" w:type="dxa"/>
            <w:noWrap w:val="0"/>
            <w:vAlign w:val="center"/>
          </w:tcPr>
          <w:p w14:paraId="79EB184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2FE75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CC82E2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692F56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效益指标</w:t>
            </w:r>
          </w:p>
          <w:p w14:paraId="16B1706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6520640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经济效</w:t>
            </w:r>
          </w:p>
          <w:p w14:paraId="3F5381A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220" w:type="dxa"/>
            <w:noWrap w:val="0"/>
            <w:vAlign w:val="center"/>
          </w:tcPr>
          <w:p w14:paraId="076ED65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维护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电力建设及供用电秩序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减少电能损失</w:t>
            </w:r>
          </w:p>
        </w:tc>
        <w:tc>
          <w:tcPr>
            <w:tcW w:w="1209" w:type="dxa"/>
            <w:noWrap w:val="0"/>
            <w:vAlign w:val="center"/>
          </w:tcPr>
          <w:p w14:paraId="4FD1250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效果明显</w:t>
            </w:r>
          </w:p>
        </w:tc>
        <w:tc>
          <w:tcPr>
            <w:tcW w:w="1234" w:type="dxa"/>
            <w:noWrap w:val="0"/>
            <w:vAlign w:val="center"/>
          </w:tcPr>
          <w:p w14:paraId="50C75DF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效果明显</w:t>
            </w:r>
          </w:p>
        </w:tc>
        <w:tc>
          <w:tcPr>
            <w:tcW w:w="728" w:type="dxa"/>
            <w:noWrap w:val="0"/>
            <w:vAlign w:val="center"/>
          </w:tcPr>
          <w:p w14:paraId="1071A38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78CD07B4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00" w:type="dxa"/>
            <w:noWrap w:val="0"/>
            <w:vAlign w:val="center"/>
          </w:tcPr>
          <w:p w14:paraId="2B19F8A2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4F3DB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8329D4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18804FC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0328C7B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社会效</w:t>
            </w:r>
          </w:p>
          <w:p w14:paraId="7269056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220" w:type="dxa"/>
            <w:noWrap w:val="0"/>
            <w:vAlign w:val="center"/>
          </w:tcPr>
          <w:p w14:paraId="51EF1D3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kern w:val="0"/>
                <w:sz w:val="21"/>
                <w:szCs w:val="21"/>
                <w:highlight w:val="none"/>
                <w:lang w:val="en-US" w:eastAsia="zh-CN"/>
              </w:rPr>
              <w:t>维护全市供用电秩序，保障电力建设顺利进行</w:t>
            </w:r>
          </w:p>
        </w:tc>
        <w:tc>
          <w:tcPr>
            <w:tcW w:w="1209" w:type="dxa"/>
            <w:noWrap w:val="0"/>
            <w:vAlign w:val="center"/>
          </w:tcPr>
          <w:p w14:paraId="1EDD281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效果明显</w:t>
            </w:r>
          </w:p>
        </w:tc>
        <w:tc>
          <w:tcPr>
            <w:tcW w:w="1234" w:type="dxa"/>
            <w:noWrap w:val="0"/>
            <w:vAlign w:val="center"/>
          </w:tcPr>
          <w:p w14:paraId="756FA94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效果明显</w:t>
            </w:r>
          </w:p>
        </w:tc>
        <w:tc>
          <w:tcPr>
            <w:tcW w:w="728" w:type="dxa"/>
            <w:noWrap w:val="0"/>
            <w:vAlign w:val="center"/>
          </w:tcPr>
          <w:p w14:paraId="7173458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7891C746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00" w:type="dxa"/>
            <w:noWrap w:val="0"/>
            <w:vAlign w:val="center"/>
          </w:tcPr>
          <w:p w14:paraId="54A8213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7A3F7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C5DE9E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ACFF6B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1C7A93E6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生态效</w:t>
            </w:r>
          </w:p>
          <w:p w14:paraId="3AF3463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220" w:type="dxa"/>
            <w:noWrap w:val="0"/>
            <w:vAlign w:val="center"/>
          </w:tcPr>
          <w:p w14:paraId="03F182B6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通过执法可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维护良好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的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供用电环境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53B58DB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效果明显</w:t>
            </w:r>
          </w:p>
        </w:tc>
        <w:tc>
          <w:tcPr>
            <w:tcW w:w="1234" w:type="dxa"/>
            <w:shd w:val="clear" w:color="auto" w:fill="auto"/>
            <w:noWrap w:val="0"/>
            <w:vAlign w:val="center"/>
          </w:tcPr>
          <w:p w14:paraId="351DB60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效果良好</w:t>
            </w:r>
          </w:p>
        </w:tc>
        <w:tc>
          <w:tcPr>
            <w:tcW w:w="728" w:type="dxa"/>
            <w:noWrap w:val="0"/>
            <w:vAlign w:val="center"/>
          </w:tcPr>
          <w:p w14:paraId="4A26566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40DDE4EC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00" w:type="dxa"/>
            <w:noWrap w:val="0"/>
            <w:vAlign w:val="center"/>
          </w:tcPr>
          <w:p w14:paraId="4499090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50571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4B6DAA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1316DE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4CC858F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220" w:type="dxa"/>
            <w:noWrap w:val="0"/>
            <w:vAlign w:val="center"/>
          </w:tcPr>
          <w:p w14:paraId="761B056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项目开展可持续性</w:t>
            </w:r>
          </w:p>
        </w:tc>
        <w:tc>
          <w:tcPr>
            <w:tcW w:w="1209" w:type="dxa"/>
            <w:noWrap w:val="0"/>
            <w:vAlign w:val="center"/>
          </w:tcPr>
          <w:p w14:paraId="5579C52C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可持续</w:t>
            </w:r>
          </w:p>
        </w:tc>
        <w:tc>
          <w:tcPr>
            <w:tcW w:w="1234" w:type="dxa"/>
            <w:noWrap w:val="0"/>
            <w:vAlign w:val="center"/>
          </w:tcPr>
          <w:p w14:paraId="361092EC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可持续</w:t>
            </w:r>
          </w:p>
        </w:tc>
        <w:tc>
          <w:tcPr>
            <w:tcW w:w="728" w:type="dxa"/>
            <w:noWrap w:val="0"/>
            <w:vAlign w:val="center"/>
          </w:tcPr>
          <w:p w14:paraId="203F0DD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44B7A60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00" w:type="dxa"/>
            <w:noWrap w:val="0"/>
            <w:vAlign w:val="center"/>
          </w:tcPr>
          <w:p w14:paraId="3089AC3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1AE5B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D677CC6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896E25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满意度</w:t>
            </w:r>
          </w:p>
          <w:p w14:paraId="5092CAA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指标</w:t>
            </w:r>
          </w:p>
          <w:p w14:paraId="33FEDDAC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4B3A3C3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服务对象满意度指标</w:t>
            </w:r>
          </w:p>
        </w:tc>
        <w:tc>
          <w:tcPr>
            <w:tcW w:w="1220" w:type="dxa"/>
            <w:noWrap w:val="0"/>
            <w:vAlign w:val="center"/>
          </w:tcPr>
          <w:p w14:paraId="0FFBF22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服务对象满意度</w:t>
            </w:r>
          </w:p>
        </w:tc>
        <w:tc>
          <w:tcPr>
            <w:tcW w:w="1209" w:type="dxa"/>
            <w:noWrap w:val="0"/>
            <w:vAlign w:val="center"/>
          </w:tcPr>
          <w:p w14:paraId="0820913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≥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1234" w:type="dxa"/>
            <w:noWrap w:val="0"/>
            <w:vAlign w:val="center"/>
          </w:tcPr>
          <w:p w14:paraId="1FF8F1B4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≥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728" w:type="dxa"/>
            <w:noWrap w:val="0"/>
            <w:vAlign w:val="center"/>
          </w:tcPr>
          <w:p w14:paraId="70604E5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774F0E9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00" w:type="dxa"/>
            <w:noWrap w:val="0"/>
            <w:vAlign w:val="center"/>
          </w:tcPr>
          <w:p w14:paraId="3BA7DE3F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30172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832" w:type="dxa"/>
            <w:gridSpan w:val="6"/>
            <w:noWrap w:val="0"/>
            <w:vAlign w:val="center"/>
          </w:tcPr>
          <w:p w14:paraId="66DD932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728" w:type="dxa"/>
            <w:noWrap w:val="0"/>
            <w:vAlign w:val="center"/>
          </w:tcPr>
          <w:p w14:paraId="7A1CDED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76998BE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1200" w:type="dxa"/>
            <w:noWrap w:val="0"/>
            <w:vAlign w:val="center"/>
          </w:tcPr>
          <w:p w14:paraId="1A47532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</w:tr>
    </w:tbl>
    <w:p w14:paraId="49535197">
      <w:pPr>
        <w:widowControl w:val="0"/>
        <w:shd w:val="clear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587" w:bottom="1440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5C1C41-EA26-43C0-8477-61812366CA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B9517C4-0963-45B7-8184-06BD55A88E3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7E8420C-7493-44B2-B407-93A7456DCEF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E7E7BC7-3123-4AFD-9929-33412BECED8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jYmJkZTgyZjQzZTk3ZTUzMWNlNWIzZDJmYjY5OGMifQ=="/>
    <w:docVar w:name="KSO_WPS_MARK_KEY" w:val="9920a277-c0c3-43b4-93d3-1636fe398e0b"/>
  </w:docVars>
  <w:rsids>
    <w:rsidRoot w:val="753C4E9B"/>
    <w:rsid w:val="03F22CE7"/>
    <w:rsid w:val="04104682"/>
    <w:rsid w:val="05D90BCF"/>
    <w:rsid w:val="05E95AA6"/>
    <w:rsid w:val="0990355B"/>
    <w:rsid w:val="0BC1638D"/>
    <w:rsid w:val="0C180A78"/>
    <w:rsid w:val="0D276746"/>
    <w:rsid w:val="0D464D9C"/>
    <w:rsid w:val="0DD52794"/>
    <w:rsid w:val="0E956870"/>
    <w:rsid w:val="0F2477F3"/>
    <w:rsid w:val="10C666A5"/>
    <w:rsid w:val="116D61E4"/>
    <w:rsid w:val="1223366A"/>
    <w:rsid w:val="143877FD"/>
    <w:rsid w:val="165247B2"/>
    <w:rsid w:val="175E2FB9"/>
    <w:rsid w:val="17FCFFF6"/>
    <w:rsid w:val="19E805B2"/>
    <w:rsid w:val="1C200EAE"/>
    <w:rsid w:val="1CBF872E"/>
    <w:rsid w:val="22FE234B"/>
    <w:rsid w:val="277E6F02"/>
    <w:rsid w:val="2854472F"/>
    <w:rsid w:val="2902642B"/>
    <w:rsid w:val="2927387C"/>
    <w:rsid w:val="29990575"/>
    <w:rsid w:val="2AF6742D"/>
    <w:rsid w:val="2D9B39A9"/>
    <w:rsid w:val="30FE230E"/>
    <w:rsid w:val="312A2265"/>
    <w:rsid w:val="31B80AAD"/>
    <w:rsid w:val="333F3E43"/>
    <w:rsid w:val="33791178"/>
    <w:rsid w:val="36FC0F5D"/>
    <w:rsid w:val="375773F8"/>
    <w:rsid w:val="382C5E8C"/>
    <w:rsid w:val="393E32BB"/>
    <w:rsid w:val="3A8056BB"/>
    <w:rsid w:val="3C666012"/>
    <w:rsid w:val="3EFDDE87"/>
    <w:rsid w:val="407E0145"/>
    <w:rsid w:val="419B2857"/>
    <w:rsid w:val="41D71DA8"/>
    <w:rsid w:val="438D0328"/>
    <w:rsid w:val="45DD452D"/>
    <w:rsid w:val="48AC7787"/>
    <w:rsid w:val="4B360391"/>
    <w:rsid w:val="4C2832E3"/>
    <w:rsid w:val="4C6611ED"/>
    <w:rsid w:val="4D5D3BD3"/>
    <w:rsid w:val="4E1554DE"/>
    <w:rsid w:val="4EB7F892"/>
    <w:rsid w:val="4F2A1121"/>
    <w:rsid w:val="51C26780"/>
    <w:rsid w:val="51EE0040"/>
    <w:rsid w:val="54B716A8"/>
    <w:rsid w:val="54CA6A02"/>
    <w:rsid w:val="552A0475"/>
    <w:rsid w:val="55BF6A67"/>
    <w:rsid w:val="566724D3"/>
    <w:rsid w:val="578D10CB"/>
    <w:rsid w:val="5836254D"/>
    <w:rsid w:val="5A5915AC"/>
    <w:rsid w:val="5ABBC979"/>
    <w:rsid w:val="5BFC7B3B"/>
    <w:rsid w:val="5C712594"/>
    <w:rsid w:val="5E77C7C6"/>
    <w:rsid w:val="5FFFAAE0"/>
    <w:rsid w:val="61A657A9"/>
    <w:rsid w:val="65784102"/>
    <w:rsid w:val="66347B2F"/>
    <w:rsid w:val="667FD72C"/>
    <w:rsid w:val="696E0130"/>
    <w:rsid w:val="6A12486A"/>
    <w:rsid w:val="6ABE64BE"/>
    <w:rsid w:val="6B5F16C5"/>
    <w:rsid w:val="6CB93DB8"/>
    <w:rsid w:val="6CF3EA5A"/>
    <w:rsid w:val="6D68758C"/>
    <w:rsid w:val="6D707205"/>
    <w:rsid w:val="6FC05772"/>
    <w:rsid w:val="72D10936"/>
    <w:rsid w:val="74561A35"/>
    <w:rsid w:val="753C4E9B"/>
    <w:rsid w:val="75596138"/>
    <w:rsid w:val="769B7804"/>
    <w:rsid w:val="779FCBF0"/>
    <w:rsid w:val="77F7E21B"/>
    <w:rsid w:val="781113A7"/>
    <w:rsid w:val="788E7812"/>
    <w:rsid w:val="791E6510"/>
    <w:rsid w:val="796B468C"/>
    <w:rsid w:val="79E2F975"/>
    <w:rsid w:val="7B134407"/>
    <w:rsid w:val="7B3BDBF2"/>
    <w:rsid w:val="7C8D4A41"/>
    <w:rsid w:val="7DB3604F"/>
    <w:rsid w:val="7EBDCBBF"/>
    <w:rsid w:val="7EC74CC1"/>
    <w:rsid w:val="7EE6408F"/>
    <w:rsid w:val="7F3EB32E"/>
    <w:rsid w:val="7F5F3F3B"/>
    <w:rsid w:val="7F5FE5E8"/>
    <w:rsid w:val="7F7FC8C5"/>
    <w:rsid w:val="7FFDE9AB"/>
    <w:rsid w:val="7FFEB77D"/>
    <w:rsid w:val="7FFFADA2"/>
    <w:rsid w:val="9ED5792A"/>
    <w:rsid w:val="AEFFB886"/>
    <w:rsid w:val="BEFF7926"/>
    <w:rsid w:val="CF12F568"/>
    <w:rsid w:val="DEBF7731"/>
    <w:rsid w:val="E39F96A6"/>
    <w:rsid w:val="E6DFCF67"/>
    <w:rsid w:val="EBB76B61"/>
    <w:rsid w:val="F6D78CAF"/>
    <w:rsid w:val="F7DA3342"/>
    <w:rsid w:val="FBD266D3"/>
    <w:rsid w:val="FBFF7914"/>
    <w:rsid w:val="FDBFA637"/>
    <w:rsid w:val="FE6B70D4"/>
    <w:rsid w:val="FF2C1D8F"/>
    <w:rsid w:val="FF7BB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line="560" w:lineRule="exact"/>
      <w:ind w:firstLine="200" w:firstLineChars="200"/>
      <w:outlineLvl w:val="1"/>
    </w:pPr>
    <w:rPr>
      <w:rFonts w:eastAsia="楷体_GB2312" w:asciiTheme="majorAscii" w:hAnsiTheme="majorAscii" w:cstheme="majorBidi"/>
      <w:bCs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 w:val="21"/>
    </w:rPr>
  </w:style>
  <w:style w:type="paragraph" w:styleId="3">
    <w:name w:val="Title"/>
    <w:basedOn w:val="1"/>
    <w:next w:val="1"/>
    <w:qFormat/>
    <w:uiPriority w:val="0"/>
    <w:pPr>
      <w:spacing w:before="240" w:after="60" w:line="440" w:lineRule="exact"/>
      <w:jc w:val="center"/>
      <w:outlineLvl w:val="0"/>
    </w:pPr>
    <w:rPr>
      <w:rFonts w:ascii="Cambria" w:hAnsi="Cambria"/>
      <w:b/>
    </w:rPr>
  </w:style>
  <w:style w:type="paragraph" w:styleId="6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标题1"/>
    <w:basedOn w:val="5"/>
    <w:qFormat/>
    <w:uiPriority w:val="0"/>
    <w:rPr>
      <w:rFonts w:eastAsia="黑体"/>
    </w:rPr>
  </w:style>
  <w:style w:type="paragraph" w:customStyle="1" w:styleId="15">
    <w:name w:val="首行缩进"/>
    <w:basedOn w:val="1"/>
    <w:qFormat/>
    <w:uiPriority w:val="0"/>
    <w:pPr>
      <w:ind w:firstLine="480" w:firstLineChars="200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741</Characters>
  <Lines>0</Lines>
  <Paragraphs>0</Paragraphs>
  <TotalTime>3</TotalTime>
  <ScaleCrop>false</ScaleCrop>
  <LinksUpToDate>false</LinksUpToDate>
  <CharactersWithSpaces>773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2024-02-23T10:03:00Z</dcterms:created>
  <dc:creator>1402836399</dc:creator>
  <cp:lastModifiedBy>lifang</cp:lastModifiedBy>
  <cp:lastPrinted>2025-04-10T10:25:00Z</cp:lastPrinted>
  <dcterms:modified xsi:type="dcterms:W3CDTF">2025-09-29T09:29:43Z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2E59967559EAD85B47E0F5671AAD0169_43</vt:lpwstr>
  </property>
  <property fmtid="{D5CDD505-2E9C-101B-9397-08002B2CF9AE}" pid="4" name="KSOTemplateDocerSaveRecord">
    <vt:lpwstr>eyJoZGlkIjoiNzlhZGEwOGVlZDc5MzU2MzhmNjE1NmEwZDZlYjhlNDkiLCJ1c2VySWQiOiI2NjE2NDg5NTAifQ==</vt:lpwstr>
  </property>
</Properties>
</file>