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color w:val="auto"/>
          <w:sz w:val="56"/>
          <w:szCs w:val="56"/>
        </w:rPr>
      </w:pPr>
    </w:p>
    <w:p>
      <w:pPr>
        <w:pStyle w:val="9"/>
        <w:jc w:val="center"/>
        <w:rPr>
          <w:color w:val="auto"/>
          <w:sz w:val="56"/>
          <w:szCs w:val="56"/>
        </w:rPr>
      </w:pPr>
    </w:p>
    <w:p>
      <w:pPr>
        <w:pStyle w:val="9"/>
        <w:jc w:val="center"/>
        <w:rPr>
          <w:color w:val="auto"/>
          <w:sz w:val="84"/>
          <w:szCs w:val="84"/>
        </w:rPr>
      </w:pPr>
    </w:p>
    <w:p>
      <w:pPr>
        <w:pStyle w:val="9"/>
        <w:jc w:val="center"/>
        <w:rPr>
          <w:color w:val="auto"/>
          <w:sz w:val="84"/>
          <w:szCs w:val="84"/>
        </w:rPr>
      </w:pPr>
    </w:p>
    <w:p>
      <w:pPr>
        <w:pStyle w:val="9"/>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w:t>
      </w:r>
      <w:r>
        <w:rPr>
          <w:rFonts w:hint="eastAsia" w:ascii="方正小标宋_GBK" w:hAnsi="方正小标宋_GBK" w:eastAsia="方正小标宋_GBK" w:cs="方正小标宋_GBK"/>
          <w:color w:val="auto"/>
          <w:sz w:val="84"/>
          <w:szCs w:val="84"/>
          <w:lang w:val="en-US" w:eastAsia="zh-CN"/>
        </w:rPr>
        <w:t>2</w:t>
      </w:r>
      <w:r>
        <w:rPr>
          <w:rFonts w:hint="eastAsia" w:ascii="方正小标宋_GBK" w:hAnsi="方正小标宋_GBK" w:eastAsia="方正小标宋_GBK" w:cs="方正小标宋_GBK"/>
          <w:color w:val="auto"/>
          <w:sz w:val="84"/>
          <w:szCs w:val="84"/>
        </w:rPr>
        <w:t>年度</w:t>
      </w:r>
    </w:p>
    <w:p>
      <w:pPr>
        <w:pStyle w:val="9"/>
        <w:jc w:val="center"/>
        <w:rPr>
          <w:rFonts w:hint="eastAsia" w:ascii="方正小标宋_GBK" w:hAnsi="方正小标宋_GBK" w:eastAsia="方正小标宋_GBK" w:cs="方正小标宋_GBK"/>
          <w:color w:val="auto"/>
          <w:sz w:val="84"/>
          <w:szCs w:val="84"/>
          <w:lang w:eastAsia="zh-CN"/>
        </w:rPr>
      </w:pPr>
      <w:r>
        <w:rPr>
          <w:rFonts w:hint="eastAsia" w:ascii="方正小标宋_GBK" w:hAnsi="方正小标宋_GBK" w:eastAsia="方正小标宋_GBK" w:cs="方正小标宋_GBK"/>
          <w:color w:val="auto"/>
          <w:sz w:val="84"/>
          <w:szCs w:val="84"/>
          <w:lang w:eastAsia="zh-CN"/>
        </w:rPr>
        <w:t>怀化市民族宗教事务局</w:t>
      </w:r>
    </w:p>
    <w:p>
      <w:pPr>
        <w:pStyle w:val="9"/>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部门决算</w:t>
      </w:r>
    </w:p>
    <w:p>
      <w:pPr>
        <w:pStyle w:val="9"/>
        <w:jc w:val="center"/>
        <w:rPr>
          <w:rFonts w:hint="eastAsia" w:ascii="方正小标宋_GBK" w:hAnsi="方正小标宋_GBK" w:eastAsia="方正小标宋_GBK" w:cs="方正小标宋_GBK"/>
          <w:color w:val="auto"/>
          <w:sz w:val="56"/>
          <w:szCs w:val="56"/>
        </w:rPr>
      </w:pPr>
    </w:p>
    <w:p>
      <w:pPr>
        <w:pStyle w:val="9"/>
        <w:jc w:val="center"/>
        <w:rPr>
          <w:color w:val="auto"/>
          <w:sz w:val="56"/>
          <w:szCs w:val="56"/>
        </w:rPr>
      </w:pPr>
    </w:p>
    <w:p>
      <w:pPr>
        <w:pStyle w:val="9"/>
        <w:jc w:val="center"/>
        <w:rPr>
          <w:color w:val="auto"/>
          <w:sz w:val="56"/>
          <w:szCs w:val="56"/>
        </w:rPr>
      </w:pPr>
    </w:p>
    <w:p>
      <w:pPr>
        <w:pStyle w:val="9"/>
        <w:jc w:val="center"/>
        <w:rPr>
          <w:color w:val="auto"/>
          <w:sz w:val="56"/>
          <w:szCs w:val="56"/>
        </w:rPr>
      </w:pPr>
    </w:p>
    <w:p>
      <w:pPr>
        <w:pStyle w:val="9"/>
        <w:jc w:val="center"/>
        <w:rPr>
          <w:color w:val="auto"/>
          <w:sz w:val="32"/>
          <w:szCs w:val="32"/>
        </w:rPr>
      </w:pPr>
    </w:p>
    <w:p>
      <w:pPr>
        <w:pStyle w:val="9"/>
        <w:jc w:val="center"/>
        <w:rPr>
          <w:color w:val="auto"/>
          <w:sz w:val="32"/>
          <w:szCs w:val="32"/>
        </w:rPr>
      </w:pPr>
    </w:p>
    <w:p>
      <w:pPr>
        <w:pStyle w:val="9"/>
        <w:jc w:val="center"/>
        <w:rPr>
          <w:color w:val="auto"/>
          <w:sz w:val="32"/>
          <w:szCs w:val="32"/>
        </w:rPr>
      </w:pPr>
    </w:p>
    <w:p>
      <w:pPr>
        <w:pStyle w:val="9"/>
        <w:spacing w:line="500" w:lineRule="exact"/>
        <w:jc w:val="both"/>
        <w:rPr>
          <w:b/>
          <w:color w:val="auto"/>
          <w:sz w:val="36"/>
          <w:szCs w:val="28"/>
        </w:rPr>
      </w:pPr>
    </w:p>
    <w:p>
      <w:pPr>
        <w:pStyle w:val="9"/>
        <w:spacing w:line="500" w:lineRule="exact"/>
        <w:jc w:val="center"/>
        <w:rPr>
          <w:b/>
          <w:color w:val="auto"/>
          <w:sz w:val="36"/>
          <w:szCs w:val="28"/>
        </w:rPr>
      </w:pPr>
      <w:r>
        <w:rPr>
          <w:rFonts w:hint="eastAsia"/>
          <w:b/>
          <w:color w:val="auto"/>
          <w:sz w:val="36"/>
          <w:szCs w:val="28"/>
        </w:rPr>
        <w:t>目录</w:t>
      </w:r>
    </w:p>
    <w:p>
      <w:pPr>
        <w:pStyle w:val="9"/>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第一部分</w:t>
      </w:r>
      <w:r>
        <w:rPr>
          <w:rFonts w:hint="eastAsia" w:ascii="黑体" w:hAnsi="黑体" w:eastAsia="黑体" w:cs="黑体"/>
          <w:b w:val="0"/>
          <w:bCs/>
          <w:color w:val="auto"/>
          <w:sz w:val="28"/>
          <w:szCs w:val="28"/>
          <w:lang w:val="en-US" w:eastAsia="zh-CN"/>
        </w:rPr>
        <w:t xml:space="preserve"> </w:t>
      </w:r>
      <w:r>
        <w:rPr>
          <w:rFonts w:hint="eastAsia" w:hAnsi="黑体" w:cs="黑体"/>
          <w:b w:val="0"/>
          <w:bCs/>
          <w:color w:val="auto"/>
          <w:sz w:val="28"/>
          <w:szCs w:val="28"/>
          <w:lang w:val="en-US" w:eastAsia="zh-CN"/>
        </w:rPr>
        <w:t>怀化市民族宗教事务局</w:t>
      </w:r>
      <w:r>
        <w:rPr>
          <w:rFonts w:hint="eastAsia" w:ascii="黑体" w:hAnsi="黑体" w:eastAsia="黑体" w:cs="黑体"/>
          <w:b w:val="0"/>
          <w:bCs/>
          <w:color w:val="auto"/>
          <w:sz w:val="28"/>
          <w:szCs w:val="28"/>
        </w:rPr>
        <w:t>概况</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pPr>
        <w:pStyle w:val="9"/>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第二部分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部门决算表</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pPr>
        <w:pStyle w:val="9"/>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第三部分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部门决算情况说明</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九、关于机关运行经费支出说明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十、一般性支出情况说明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十一、关于政府采购支出说明</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十二、关于国有资产占用情况说明</w:t>
      </w:r>
    </w:p>
    <w:p>
      <w:pPr>
        <w:pStyle w:val="9"/>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十三、关于预算绩效情况的说明</w:t>
      </w:r>
    </w:p>
    <w:p>
      <w:pPr>
        <w:pStyle w:val="9"/>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第四部分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名词解释</w:t>
      </w: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rFonts w:hint="eastAsia" w:ascii="方正小标宋_GBK" w:hAnsi="方正小标宋_GBK" w:eastAsia="方正小标宋_GBK" w:cs="方正小标宋_GBK"/>
          <w:color w:val="auto"/>
          <w:sz w:val="72"/>
          <w:szCs w:val="72"/>
        </w:rPr>
      </w:pPr>
    </w:p>
    <w:p>
      <w:pPr>
        <w:pStyle w:val="9"/>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 xml:space="preserve">第一部分 </w:t>
      </w:r>
    </w:p>
    <w:p>
      <w:pPr>
        <w:pStyle w:val="9"/>
        <w:jc w:val="center"/>
        <w:rPr>
          <w:rFonts w:hint="eastAsia" w:ascii="方正小标宋_GBK" w:hAnsi="方正小标宋_GBK" w:eastAsia="方正小标宋_GBK" w:cs="方正小标宋_GBK"/>
          <w:color w:val="auto"/>
          <w:sz w:val="84"/>
          <w:szCs w:val="84"/>
        </w:rPr>
      </w:pPr>
    </w:p>
    <w:p>
      <w:pPr>
        <w:pStyle w:val="9"/>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lang w:eastAsia="zh-CN"/>
        </w:rPr>
        <w:t>怀化市民族宗教事务局</w:t>
      </w:r>
      <w:r>
        <w:rPr>
          <w:rFonts w:hint="eastAsia" w:ascii="方正小标宋_GBK" w:hAnsi="方正小标宋_GBK" w:eastAsia="方正小标宋_GBK" w:cs="方正小标宋_GBK"/>
          <w:color w:val="auto"/>
          <w:sz w:val="84"/>
          <w:szCs w:val="84"/>
        </w:rPr>
        <w:t>概况</w:t>
      </w:r>
    </w:p>
    <w:p>
      <w:pPr>
        <w:jc w:val="center"/>
        <w:rPr>
          <w:rFonts w:hint="eastAsia" w:ascii="方正小标宋_GBK" w:hAnsi="方正小标宋_GBK" w:eastAsia="方正小标宋_GBK" w:cs="方正小标宋_GBK"/>
          <w:color w:val="auto"/>
          <w:sz w:val="72"/>
          <w:szCs w:val="72"/>
        </w:rPr>
      </w:pPr>
    </w:p>
    <w:p>
      <w:pPr>
        <w:jc w:val="center"/>
        <w:rPr>
          <w:rFonts w:hint="eastAsia" w:ascii="方正小标宋_GBK" w:hAnsi="方正小标宋_GBK" w:eastAsia="方正小标宋_GBK" w:cs="方正小标宋_GBK"/>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pStyle w:val="10"/>
        <w:keepNext w:val="0"/>
        <w:keepLines w:val="0"/>
        <w:pageBreakBefore w:val="0"/>
        <w:numPr>
          <w:ilvl w:val="0"/>
          <w:numId w:val="0"/>
        </w:numPr>
        <w:kinsoku/>
        <w:wordWrap/>
        <w:overflowPunct/>
        <w:topLinePunct w:val="0"/>
        <w:bidi w:val="0"/>
        <w:snapToGrid/>
        <w:spacing w:line="580" w:lineRule="exact"/>
        <w:ind w:leftChars="0" w:firstLine="640" w:firstLineChars="200"/>
        <w:jc w:val="left"/>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sz w:val="32"/>
          <w:szCs w:val="32"/>
        </w:rPr>
        <w:t>部门职责</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（一）</w:t>
      </w:r>
      <w:r>
        <w:rPr>
          <w:rFonts w:hint="eastAsia" w:ascii="仿宋_GB2312" w:hAnsi="仿宋_GB2312" w:eastAsia="仿宋_GB2312" w:cs="仿宋_GB2312"/>
          <w:color w:val="auto"/>
          <w:kern w:val="0"/>
          <w:sz w:val="32"/>
          <w:szCs w:val="32"/>
          <w:lang w:val="en-US" w:eastAsia="zh-CN"/>
        </w:rPr>
        <w:t>贯彻执行党和国家及省委、省政府关于民族宗教工作的方针、政策和法律、法规，组织开展民族宗教重大问题和民族地区经济社会发展方面问题的调查研究工作，提出有关民族宗教工作的建议。</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(二）开展民族宗教政策和法律法规的宣传教育工作。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(三）加强与各民族地区的联系和交往，组织开展周边地区民族联谊活动，参与协调维护民族地区社会稳定工作。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（四）研究分析少数民族和民族地区经济发展和社会事务方面的问题并提出建议，参与做好民族地区对口支援、经济技术合作、民族贸易、民族特需用品生产等工作。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（五）参与少数民族人才队伍、宗教工作队伍建设规划的制订和实施工作，协助有关部门做好少数民族干部的培养教育和推荐使用工作。</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（六）负责全市宗教方面外事归口管理工作，协同有关部门处理宗教方面涉外事宜，帮助和指导宗教界开展同境外宗教界友好交往活动。负责管理全市性爱国宗教团体，搞好民主协商和合作共事关系。</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（七）承办市人民政府交办的其他事项。</w:t>
      </w:r>
    </w:p>
    <w:p>
      <w:pPr>
        <w:keepNext w:val="0"/>
        <w:keepLines w:val="0"/>
        <w:pageBreakBefore w:val="0"/>
        <w:widowControl/>
        <w:kinsoku/>
        <w:wordWrap/>
        <w:overflowPunct/>
        <w:topLinePunct w:val="0"/>
        <w:bidi w:val="0"/>
        <w:snapToGrid/>
        <w:spacing w:line="580" w:lineRule="exact"/>
        <w:ind w:firstLine="640" w:firstLineChars="200"/>
        <w:textAlignment w:val="auto"/>
        <w:rPr>
          <w:rFonts w:ascii="黑体" w:eastAsia="黑体"/>
          <w:bCs/>
          <w:color w:val="auto"/>
          <w:kern w:val="0"/>
          <w:sz w:val="32"/>
          <w:szCs w:val="32"/>
        </w:rPr>
      </w:pPr>
      <w:r>
        <w:rPr>
          <w:rFonts w:hint="eastAsia" w:ascii="黑体" w:eastAsia="黑体"/>
          <w:bCs/>
          <w:color w:val="auto"/>
          <w:kern w:val="0"/>
          <w:sz w:val="32"/>
          <w:szCs w:val="32"/>
        </w:rPr>
        <w:t>二、机构设置及决算单位构成</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（一）内设机构设置。怀化市民族宗教事务局为一级预算单位，内设机构包括：办公室、民族政策法规科（行政审批服务科）、民族文化教育科、民族经济发展科、宗教科、民族研究所。四科一室一所。</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（二）决算单位构成。怀化市民族宗教事务局2022年部门决算汇总公开单位构成包括：怀化市民族宗教事务局本级。没有二级单位。</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rPr>
      </w:pPr>
    </w:p>
    <w:p>
      <w:pPr>
        <w:jc w:val="center"/>
        <w:rPr>
          <w:rFonts w:ascii="黑体" w:hAnsi="黑体" w:eastAsia="黑体"/>
          <w:color w:val="auto"/>
          <w:sz w:val="32"/>
          <w:szCs w:val="32"/>
        </w:rPr>
      </w:pPr>
    </w:p>
    <w:p>
      <w:pPr>
        <w:jc w:val="center"/>
        <w:rPr>
          <w:rFonts w:ascii="黑体" w:hAnsi="黑体" w:eastAsia="黑体"/>
          <w:color w:val="auto"/>
          <w:sz w:val="28"/>
          <w:szCs w:val="28"/>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rFonts w:hint="eastAsia" w:ascii="方正小标宋_GBK" w:hAnsi="方正小标宋_GBK" w:eastAsia="方正小标宋_GBK" w:cs="方正小标宋_GBK"/>
          <w:color w:val="auto"/>
          <w:sz w:val="72"/>
          <w:szCs w:val="72"/>
        </w:rPr>
      </w:pPr>
    </w:p>
    <w:p>
      <w:pPr>
        <w:pStyle w:val="9"/>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第二部分</w:t>
      </w:r>
    </w:p>
    <w:p>
      <w:pPr>
        <w:pStyle w:val="9"/>
        <w:jc w:val="center"/>
        <w:rPr>
          <w:rFonts w:hint="eastAsia" w:ascii="方正小标宋_GBK" w:hAnsi="方正小标宋_GBK" w:eastAsia="方正小标宋_GBK" w:cs="方正小标宋_GBK"/>
          <w:color w:val="auto"/>
          <w:sz w:val="84"/>
          <w:szCs w:val="84"/>
        </w:rPr>
      </w:pPr>
    </w:p>
    <w:p>
      <w:pPr>
        <w:pStyle w:val="9"/>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部门决算表</w:t>
      </w: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center"/>
        <w:rPr>
          <w:color w:val="auto"/>
          <w:sz w:val="72"/>
          <w:szCs w:val="72"/>
        </w:rPr>
      </w:pPr>
    </w:p>
    <w:p>
      <w:pPr>
        <w:jc w:val="left"/>
        <w:rPr>
          <w:color w:val="auto"/>
          <w:sz w:val="32"/>
          <w:szCs w:val="32"/>
        </w:rPr>
      </w:pPr>
    </w:p>
    <w:p>
      <w:pPr>
        <w:jc w:val="left"/>
        <w:rPr>
          <w:rFonts w:asciiTheme="minorEastAsia" w:hAnsiTheme="minorEastAsia"/>
          <w:color w:val="auto"/>
          <w:sz w:val="32"/>
          <w:szCs w:val="32"/>
        </w:rPr>
        <w:sectPr>
          <w:pgSz w:w="11906" w:h="16838"/>
          <w:pgMar w:top="720" w:right="720" w:bottom="720" w:left="720" w:header="851" w:footer="992" w:gutter="0"/>
          <w:cols w:space="425" w:num="1"/>
          <w:docGrid w:type="lines" w:linePitch="312" w:charSpace="0"/>
        </w:sectPr>
      </w:pPr>
    </w:p>
    <w:tbl>
      <w:tblPr>
        <w:tblStyle w:val="5"/>
        <w:tblW w:w="15428" w:type="dxa"/>
        <w:tblInd w:w="0" w:type="dxa"/>
        <w:tblLayout w:type="fixed"/>
        <w:tblCellMar>
          <w:top w:w="0" w:type="dxa"/>
          <w:left w:w="0" w:type="dxa"/>
          <w:bottom w:w="0" w:type="dxa"/>
          <w:right w:w="0" w:type="dxa"/>
        </w:tblCellMar>
      </w:tblPr>
      <w:tblGrid>
        <w:gridCol w:w="298"/>
        <w:gridCol w:w="708"/>
        <w:gridCol w:w="3576"/>
        <w:gridCol w:w="1680"/>
        <w:gridCol w:w="1572"/>
        <w:gridCol w:w="1524"/>
        <w:gridCol w:w="648"/>
        <w:gridCol w:w="912"/>
        <w:gridCol w:w="1596"/>
        <w:gridCol w:w="1368"/>
        <w:gridCol w:w="1546"/>
      </w:tblGrid>
      <w:tr>
        <w:tblPrEx>
          <w:tblCellMar>
            <w:top w:w="0" w:type="dxa"/>
            <w:left w:w="0" w:type="dxa"/>
            <w:bottom w:w="0" w:type="dxa"/>
            <w:right w:w="0" w:type="dxa"/>
          </w:tblCellMar>
        </w:tblPrEx>
        <w:trPr>
          <w:trHeight w:val="435" w:hRule="atLeast"/>
        </w:trPr>
        <w:tc>
          <w:tcPr>
            <w:tcW w:w="15428" w:type="dxa"/>
            <w:gridSpan w:val="11"/>
            <w:tcBorders>
              <w:top w:val="nil"/>
              <w:left w:val="nil"/>
              <w:bottom w:val="nil"/>
              <w:right w:val="nil"/>
            </w:tcBorders>
            <w:shd w:val="clear" w:color="auto" w:fill="auto"/>
            <w:noWrap/>
            <w:tcMar>
              <w:top w:w="15" w:type="dxa"/>
              <w:left w:w="15" w:type="dxa"/>
              <w:bottom w:w="0" w:type="dxa"/>
              <w:right w:w="15" w:type="dxa"/>
            </w:tcMar>
            <w:vAlign w:val="center"/>
          </w:tcPr>
          <w:tbl>
            <w:tblPr>
              <w:tblStyle w:val="5"/>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22"/>
              <w:gridCol w:w="592"/>
              <w:gridCol w:w="2195"/>
              <w:gridCol w:w="4067"/>
              <w:gridCol w:w="1537"/>
              <w:gridCol w:w="44"/>
              <w:gridCol w:w="26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32"/>
                      <w:szCs w:val="32"/>
                      <w:u w:val="none"/>
                    </w:rPr>
                  </w:pPr>
                  <w:r>
                    <w:rPr>
                      <w:rFonts w:hint="eastAsia" w:ascii="方正大标宋简体" w:hAnsi="方正大标宋简体" w:eastAsia="方正大标宋简体" w:cs="方正大标宋简体"/>
                      <w:i w:val="0"/>
                      <w:color w:val="auto"/>
                      <w:kern w:val="0"/>
                      <w:sz w:val="36"/>
                      <w:szCs w:val="36"/>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322"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u w:val="none"/>
                    </w:rPr>
                  </w:pPr>
                </w:p>
              </w:tc>
              <w:tc>
                <w:tcPr>
                  <w:tcW w:w="592"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u w:val="none"/>
                    </w:rPr>
                  </w:pPr>
                </w:p>
              </w:tc>
              <w:tc>
                <w:tcPr>
                  <w:tcW w:w="2195"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u w:val="none"/>
                    </w:rPr>
                  </w:pPr>
                </w:p>
              </w:tc>
              <w:tc>
                <w:tcPr>
                  <w:tcW w:w="4067"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u w:val="none"/>
                    </w:rPr>
                  </w:pPr>
                </w:p>
              </w:tc>
              <w:tc>
                <w:tcPr>
                  <w:tcW w:w="1581" w:type="dxa"/>
                  <w:gridSpan w:val="2"/>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u w:val="none"/>
                    </w:rPr>
                  </w:pPr>
                </w:p>
              </w:tc>
              <w:tc>
                <w:tcPr>
                  <w:tcW w:w="264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322"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部门：怀化市民族宗教事务局</w:t>
                  </w:r>
                </w:p>
              </w:tc>
              <w:tc>
                <w:tcPr>
                  <w:tcW w:w="592"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u w:val="none"/>
                    </w:rPr>
                  </w:pPr>
                </w:p>
              </w:tc>
              <w:tc>
                <w:tcPr>
                  <w:tcW w:w="2195"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u w:val="none"/>
                    </w:rPr>
                  </w:pPr>
                </w:p>
              </w:tc>
              <w:tc>
                <w:tcPr>
                  <w:tcW w:w="4067" w:type="dxa"/>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u w:val="none"/>
                    </w:rPr>
                  </w:pPr>
                </w:p>
              </w:tc>
              <w:tc>
                <w:tcPr>
                  <w:tcW w:w="1581" w:type="dxa"/>
                  <w:gridSpan w:val="2"/>
                  <w:tcBorders>
                    <w:top w:val="nil"/>
                    <w:left w:val="nil"/>
                    <w:bottom w:val="nil"/>
                    <w:right w:val="nil"/>
                  </w:tcBorders>
                  <w:shd w:val="clear" w:color="auto" w:fill="FFFFFF"/>
                  <w:noWrap/>
                  <w:vAlign w:val="center"/>
                </w:tcPr>
                <w:p>
                  <w:pPr>
                    <w:jc w:val="right"/>
                    <w:rPr>
                      <w:rFonts w:hint="eastAsia" w:ascii="仿宋_GB2312" w:hAnsi="仿宋_GB2312" w:eastAsia="仿宋_GB2312" w:cs="仿宋_GB2312"/>
                      <w:i w:val="0"/>
                      <w:color w:val="auto"/>
                      <w:sz w:val="22"/>
                      <w:szCs w:val="22"/>
                      <w:u w:val="none"/>
                    </w:rPr>
                  </w:pPr>
                </w:p>
              </w:tc>
              <w:tc>
                <w:tcPr>
                  <w:tcW w:w="264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7109"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收入</w:t>
                  </w:r>
                </w:p>
              </w:tc>
              <w:tc>
                <w:tcPr>
                  <w:tcW w:w="8289"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项    目</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行次</w:t>
                  </w:r>
                </w:p>
              </w:tc>
              <w:tc>
                <w:tcPr>
                  <w:tcW w:w="21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决算数</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项    目</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行次</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栏    次</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_GB2312" w:hAnsi="仿宋_GB2312" w:eastAsia="仿宋_GB2312" w:cs="仿宋_GB2312"/>
                      <w:i w:val="0"/>
                      <w:color w:val="auto"/>
                      <w:sz w:val="22"/>
                      <w:szCs w:val="22"/>
                      <w:u w:val="none"/>
                    </w:rPr>
                  </w:pPr>
                </w:p>
              </w:tc>
              <w:tc>
                <w:tcPr>
                  <w:tcW w:w="21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栏    次</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仿宋_GB2312" w:hAnsi="仿宋_GB2312" w:eastAsia="仿宋_GB2312" w:cs="仿宋_GB2312"/>
                      <w:i w:val="0"/>
                      <w:color w:val="auto"/>
                      <w:sz w:val="22"/>
                      <w:szCs w:val="22"/>
                      <w:u w:val="none"/>
                    </w:rPr>
                  </w:pP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一、一般公共预算财政拨款收入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1103.82</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一、一般公共服务支出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14</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1029.26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二、政府性基金预算财政拨款收入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二、外交支出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15</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三、国有资本经营预算财政拨款收入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3</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三、国防支出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16</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四、上级补助收入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4</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四、公共安全支出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17</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五、事业收入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5</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五、教育支出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18</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六、经营收入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6</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六、科学技术支出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19</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七、附属单位上缴收入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7</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lang w:eastAsia="zh-CN"/>
                    </w:rPr>
                  </w:pPr>
                  <w:r>
                    <w:rPr>
                      <w:rFonts w:hint="eastAsia" w:ascii="仿宋_GB2312" w:hAnsi="仿宋_GB2312" w:eastAsia="仿宋_GB2312" w:cs="仿宋_GB2312"/>
                      <w:i w:val="0"/>
                      <w:color w:val="auto"/>
                      <w:sz w:val="22"/>
                      <w:szCs w:val="22"/>
                      <w:u w:val="none"/>
                      <w:lang w:eastAsia="zh-CN"/>
                    </w:rPr>
                    <w:t>七、文化旅游体育与传媒支出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20</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八、其他收入</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8</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仿宋_GB2312" w:hAnsi="仿宋_GB2312" w:eastAsia="仿宋_GB2312" w:cs="仿宋_GB2312"/>
                      <w:i w:val="0"/>
                      <w:color w:val="auto"/>
                      <w:sz w:val="22"/>
                      <w:szCs w:val="22"/>
                      <w:u w:val="none"/>
                      <w:lang w:eastAsia="zh-CN"/>
                    </w:rPr>
                  </w:pPr>
                  <w:r>
                    <w:rPr>
                      <w:rFonts w:hint="eastAsia" w:ascii="仿宋_GB2312" w:hAnsi="仿宋_GB2312" w:eastAsia="仿宋_GB2312" w:cs="仿宋_GB2312"/>
                      <w:i w:val="0"/>
                      <w:color w:val="auto"/>
                      <w:sz w:val="22"/>
                      <w:szCs w:val="22"/>
                      <w:u w:val="none"/>
                      <w:lang w:eastAsia="zh-CN"/>
                    </w:rPr>
                    <w:t>八、社会保障和就业支出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21</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57.20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仿宋_GB2312" w:hAnsi="仿宋_GB2312" w:eastAsia="仿宋_GB2312" w:cs="仿宋_GB2312"/>
                      <w:i w:val="0"/>
                      <w:color w:val="auto"/>
                      <w:sz w:val="22"/>
                      <w:szCs w:val="22"/>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9</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仿宋_GB2312" w:hAnsi="仿宋_GB2312" w:eastAsia="仿宋_GB2312" w:cs="仿宋_GB2312"/>
                      <w:i w:val="0"/>
                      <w:color w:val="auto"/>
                      <w:sz w:val="22"/>
                      <w:szCs w:val="22"/>
                      <w:u w:val="none"/>
                      <w:lang w:eastAsia="zh-CN"/>
                    </w:rPr>
                  </w:pPr>
                  <w:r>
                    <w:rPr>
                      <w:rFonts w:hint="eastAsia" w:ascii="仿宋_GB2312" w:hAnsi="仿宋_GB2312" w:eastAsia="仿宋_GB2312" w:cs="仿宋_GB2312"/>
                      <w:i w:val="0"/>
                      <w:color w:val="auto"/>
                      <w:sz w:val="22"/>
                      <w:szCs w:val="22"/>
                      <w:u w:val="none"/>
                      <w:lang w:eastAsia="zh-CN"/>
                    </w:rPr>
                    <w:t>九、卫生健康支出</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22</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17.37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u w:val="none"/>
                    </w:rPr>
                  </w:pPr>
                  <w:r>
                    <w:rPr>
                      <w:rFonts w:hint="eastAsia" w:ascii="仿宋_GB2312" w:hAnsi="仿宋_GB2312" w:eastAsia="仿宋_GB2312" w:cs="仿宋_GB2312"/>
                      <w:b/>
                      <w:i w:val="0"/>
                      <w:color w:val="auto"/>
                      <w:kern w:val="0"/>
                      <w:sz w:val="22"/>
                      <w:szCs w:val="22"/>
                      <w:u w:val="none"/>
                      <w:lang w:val="en-US" w:eastAsia="zh-CN" w:bidi="ar"/>
                    </w:rPr>
                    <w:t>本年收入合计</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10</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1103.82</w:t>
                  </w: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u w:val="none"/>
                    </w:rPr>
                  </w:pPr>
                  <w:r>
                    <w:rPr>
                      <w:rFonts w:hint="eastAsia" w:ascii="仿宋_GB2312" w:hAnsi="仿宋_GB2312" w:eastAsia="仿宋_GB2312" w:cs="仿宋_GB2312"/>
                      <w:b/>
                      <w:i w:val="0"/>
                      <w:color w:val="auto"/>
                      <w:kern w:val="0"/>
                      <w:sz w:val="22"/>
                      <w:szCs w:val="22"/>
                      <w:u w:val="none"/>
                      <w:lang w:val="en-US" w:eastAsia="zh-CN" w:bidi="ar"/>
                    </w:rPr>
                    <w:t>本年支出合计</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23</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1103.82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 xml:space="preserve">         使用非财政拨款结余</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11</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 xml:space="preserve">                结余分配</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24</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 xml:space="preserve">         年初结转和结余</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12</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c>
                <w:tcPr>
                  <w:tcW w:w="4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 xml:space="preserve">                年末结转和结余</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25</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3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u w:val="none"/>
                    </w:rPr>
                  </w:pPr>
                  <w:r>
                    <w:rPr>
                      <w:rFonts w:hint="eastAsia" w:ascii="仿宋_GB2312" w:hAnsi="仿宋_GB2312" w:eastAsia="仿宋_GB2312" w:cs="仿宋_GB2312"/>
                      <w:b/>
                      <w:i w:val="0"/>
                      <w:color w:val="auto"/>
                      <w:kern w:val="0"/>
                      <w:sz w:val="22"/>
                      <w:szCs w:val="22"/>
                      <w:u w:val="none"/>
                      <w:lang w:val="en-US" w:eastAsia="zh-CN" w:bidi="ar"/>
                    </w:rPr>
                    <w:t>总计</w:t>
                  </w:r>
                </w:p>
              </w:tc>
              <w:tc>
                <w:tcPr>
                  <w:tcW w:w="5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13</w:t>
                  </w:r>
                </w:p>
              </w:tc>
              <w:tc>
                <w:tcPr>
                  <w:tcW w:w="2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1103.82</w:t>
                  </w:r>
                </w:p>
              </w:tc>
              <w:tc>
                <w:tcPr>
                  <w:tcW w:w="40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b/>
                      <w:i w:val="0"/>
                      <w:color w:val="auto"/>
                      <w:sz w:val="22"/>
                      <w:szCs w:val="22"/>
                      <w:u w:val="none"/>
                    </w:rPr>
                  </w:pPr>
                  <w:r>
                    <w:rPr>
                      <w:rFonts w:hint="eastAsia" w:ascii="仿宋_GB2312" w:hAnsi="仿宋_GB2312" w:eastAsia="仿宋_GB2312" w:cs="仿宋_GB2312"/>
                      <w:b/>
                      <w:i w:val="0"/>
                      <w:color w:val="auto"/>
                      <w:kern w:val="0"/>
                      <w:sz w:val="22"/>
                      <w:szCs w:val="22"/>
                      <w:u w:val="none"/>
                      <w:lang w:val="en-US" w:eastAsia="zh-CN" w:bidi="ar"/>
                    </w:rPr>
                    <w:t>总计</w:t>
                  </w:r>
                </w:p>
              </w:tc>
              <w:tc>
                <w:tcPr>
                  <w:tcW w:w="15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26</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pPr>
                    <w:jc w:val="cente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1103.82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注：1.本表反映部门本年度的总收支和年末结转结余情况。</w:t>
                  </w:r>
                </w:p>
                <w:p>
                  <w:pPr>
                    <w:keepNext w:val="0"/>
                    <w:keepLines w:val="0"/>
                    <w:widowControl/>
                    <w:suppressLineNumbers w:val="0"/>
                    <w:jc w:val="left"/>
                    <w:textAlignment w:val="center"/>
                    <w:rPr>
                      <w:rFonts w:hint="eastAsia" w:ascii="仿宋_GB2312" w:hAnsi="仿宋_GB2312" w:eastAsia="仿宋_GB2312" w:cs="仿宋_GB2312"/>
                      <w:i w:val="0"/>
                      <w:color w:val="auto"/>
                      <w:kern w:val="0"/>
                      <w:sz w:val="22"/>
                      <w:szCs w:val="22"/>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 xml:space="preserve">    2.本套报表金额单位转换时可能存在尾数误差。</w:t>
                  </w:r>
                </w:p>
              </w:tc>
            </w:tr>
          </w:tbl>
          <w:p>
            <w:pPr>
              <w:jc w:val="center"/>
              <w:rPr>
                <w:rFonts w:ascii="华文中宋" w:hAnsi="华文中宋" w:eastAsia="华文中宋" w:cs="宋体"/>
                <w:color w:val="auto"/>
                <w:sz w:val="32"/>
                <w:szCs w:val="32"/>
              </w:rPr>
            </w:pPr>
            <w:r>
              <w:rPr>
                <w:rFonts w:hint="eastAsia" w:ascii="方正大标宋简体" w:hAnsi="方正大标宋简体" w:eastAsia="方正大标宋简体" w:cs="方正大标宋简体"/>
                <w:color w:val="auto"/>
                <w:sz w:val="36"/>
                <w:szCs w:val="36"/>
              </w:rPr>
              <w:t>收入决算表</w:t>
            </w:r>
          </w:p>
        </w:tc>
      </w:tr>
      <w:tr>
        <w:tblPrEx>
          <w:tblCellMar>
            <w:top w:w="0" w:type="dxa"/>
            <w:left w:w="0" w:type="dxa"/>
            <w:bottom w:w="0" w:type="dxa"/>
            <w:right w:w="0" w:type="dxa"/>
          </w:tblCellMar>
        </w:tblPrEx>
        <w:trPr>
          <w:trHeight w:val="351" w:hRule="atLeast"/>
        </w:trPr>
        <w:tc>
          <w:tcPr>
            <w:tcW w:w="2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rPr>
            </w:pPr>
            <w:r>
              <w:rPr>
                <w:rFonts w:hint="eastAsia"/>
                <w:color w:val="auto"/>
              </w:rPr>
              <w:t>　</w:t>
            </w:r>
          </w:p>
        </w:tc>
        <w:tc>
          <w:tcPr>
            <w:tcW w:w="70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rPr>
            </w:pPr>
            <w:r>
              <w:rPr>
                <w:rFonts w:hint="eastAsia"/>
                <w:color w:val="auto"/>
              </w:rPr>
              <w:t>　</w:t>
            </w:r>
          </w:p>
        </w:tc>
        <w:tc>
          <w:tcPr>
            <w:tcW w:w="357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rPr>
            </w:pPr>
            <w:r>
              <w:rPr>
                <w:rFonts w:hint="eastAsia"/>
                <w:color w:val="auto"/>
              </w:rPr>
              <w:t>　</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rPr>
            </w:pPr>
            <w:r>
              <w:rPr>
                <w:rFonts w:hint="eastAsia"/>
                <w:color w:val="auto"/>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rPr>
            </w:pPr>
            <w:r>
              <w:rPr>
                <w:rFonts w:hint="eastAsia"/>
                <w:color w:val="auto"/>
              </w:rPr>
              <w:t>　</w:t>
            </w:r>
          </w:p>
        </w:tc>
        <w:tc>
          <w:tcPr>
            <w:tcW w:w="152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rPr>
            </w:pPr>
            <w:r>
              <w:rPr>
                <w:rFonts w:hint="eastAsia"/>
                <w:color w:val="auto"/>
              </w:rPr>
              <w:t>　</w:t>
            </w:r>
          </w:p>
        </w:tc>
        <w:tc>
          <w:tcPr>
            <w:tcW w:w="1560"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rPr>
            </w:pPr>
            <w:r>
              <w:rPr>
                <w:rFonts w:hint="eastAsia"/>
                <w:color w:val="auto"/>
              </w:rPr>
              <w:t>　</w:t>
            </w:r>
          </w:p>
        </w:tc>
        <w:tc>
          <w:tcPr>
            <w:tcW w:w="159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rPr>
            </w:pPr>
            <w:r>
              <w:rPr>
                <w:rFonts w:hint="eastAsia"/>
                <w:color w:val="auto"/>
              </w:rPr>
              <w:t>　</w:t>
            </w:r>
          </w:p>
        </w:tc>
        <w:tc>
          <w:tcPr>
            <w:tcW w:w="136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4"/>
                <w:szCs w:val="24"/>
              </w:rPr>
            </w:pPr>
            <w:r>
              <w:rPr>
                <w:rFonts w:hint="eastAsia"/>
                <w:color w:val="auto"/>
              </w:rPr>
              <w:t>　</w:t>
            </w:r>
          </w:p>
        </w:tc>
        <w:tc>
          <w:tcPr>
            <w:tcW w:w="154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auto"/>
                <w:sz w:val="20"/>
                <w:szCs w:val="20"/>
              </w:rPr>
            </w:pPr>
            <w:r>
              <w:rPr>
                <w:rFonts w:hint="eastAsia"/>
                <w:color w:val="auto"/>
                <w:sz w:val="20"/>
                <w:szCs w:val="20"/>
              </w:rPr>
              <w:t>公开02表</w:t>
            </w:r>
          </w:p>
        </w:tc>
      </w:tr>
      <w:tr>
        <w:tblPrEx>
          <w:tblCellMar>
            <w:top w:w="0" w:type="dxa"/>
            <w:left w:w="0" w:type="dxa"/>
            <w:bottom w:w="0" w:type="dxa"/>
            <w:right w:w="0" w:type="dxa"/>
          </w:tblCellMar>
        </w:tblPrEx>
        <w:trPr>
          <w:trHeight w:val="291" w:hRule="atLeast"/>
        </w:trPr>
        <w:tc>
          <w:tcPr>
            <w:tcW w:w="4582" w:type="dxa"/>
            <w:gridSpan w:val="3"/>
            <w:tcBorders>
              <w:top w:val="nil"/>
              <w:left w:val="nil"/>
              <w:bottom w:val="nil"/>
              <w:right w:val="nil"/>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部门：</w:t>
            </w:r>
            <w:r>
              <w:rPr>
                <w:rFonts w:hint="eastAsia" w:ascii="仿宋_GB2312" w:hAnsi="仿宋_GB2312" w:eastAsia="仿宋_GB2312" w:cs="仿宋_GB2312"/>
                <w:color w:val="auto"/>
                <w:sz w:val="22"/>
                <w:szCs w:val="22"/>
                <w:lang w:eastAsia="zh-CN"/>
              </w:rPr>
              <w:t>怀化市民族宗教事务局</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24"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64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2508"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36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4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单位：万元</w:t>
            </w:r>
          </w:p>
        </w:tc>
      </w:tr>
      <w:tr>
        <w:tblPrEx>
          <w:tblCellMar>
            <w:top w:w="0" w:type="dxa"/>
            <w:left w:w="0" w:type="dxa"/>
            <w:bottom w:w="0" w:type="dxa"/>
            <w:right w:w="0" w:type="dxa"/>
          </w:tblCellMar>
        </w:tblPrEx>
        <w:trPr>
          <w:trHeight w:val="450" w:hRule="atLeast"/>
        </w:trPr>
        <w:tc>
          <w:tcPr>
            <w:tcW w:w="458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项    目</w:t>
            </w:r>
          </w:p>
        </w:tc>
        <w:tc>
          <w:tcPr>
            <w:tcW w:w="16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本年收入合计</w:t>
            </w:r>
          </w:p>
        </w:tc>
        <w:tc>
          <w:tcPr>
            <w:tcW w:w="157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财政拨款收入</w:t>
            </w:r>
          </w:p>
        </w:tc>
        <w:tc>
          <w:tcPr>
            <w:tcW w:w="152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上级补助收入</w:t>
            </w:r>
          </w:p>
        </w:tc>
        <w:tc>
          <w:tcPr>
            <w:tcW w:w="156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事业收入</w:t>
            </w:r>
          </w:p>
        </w:tc>
        <w:tc>
          <w:tcPr>
            <w:tcW w:w="159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经营收入</w:t>
            </w:r>
          </w:p>
        </w:tc>
        <w:tc>
          <w:tcPr>
            <w:tcW w:w="136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附属单位上缴收入</w:t>
            </w:r>
          </w:p>
        </w:tc>
        <w:tc>
          <w:tcPr>
            <w:tcW w:w="154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其他收入</w:t>
            </w:r>
          </w:p>
        </w:tc>
      </w:tr>
      <w:tr>
        <w:tblPrEx>
          <w:tblCellMar>
            <w:top w:w="0" w:type="dxa"/>
            <w:left w:w="0" w:type="dxa"/>
            <w:bottom w:w="0" w:type="dxa"/>
            <w:right w:w="0" w:type="dxa"/>
          </w:tblCellMar>
        </w:tblPrEx>
        <w:trPr>
          <w:trHeight w:val="450" w:hRule="atLeast"/>
        </w:trPr>
        <w:tc>
          <w:tcPr>
            <w:tcW w:w="100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功能分类科目编码</w:t>
            </w:r>
          </w:p>
        </w:tc>
        <w:tc>
          <w:tcPr>
            <w:tcW w:w="357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科目名称</w:t>
            </w: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36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546"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3576" w:type="dxa"/>
            <w:vMerge w:val="continue"/>
            <w:tcBorders>
              <w:top w:val="nil"/>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52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36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c>
          <w:tcPr>
            <w:tcW w:w="1546"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458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栏次</w:t>
            </w:r>
          </w:p>
        </w:tc>
        <w:tc>
          <w:tcPr>
            <w:tcW w:w="16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1</w:t>
            </w:r>
          </w:p>
        </w:tc>
        <w:tc>
          <w:tcPr>
            <w:tcW w:w="15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2</w:t>
            </w:r>
          </w:p>
        </w:tc>
        <w:tc>
          <w:tcPr>
            <w:tcW w:w="152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3</w:t>
            </w:r>
          </w:p>
        </w:tc>
        <w:tc>
          <w:tcPr>
            <w:tcW w:w="156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4</w:t>
            </w:r>
          </w:p>
        </w:tc>
        <w:tc>
          <w:tcPr>
            <w:tcW w:w="15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5</w:t>
            </w:r>
          </w:p>
        </w:tc>
        <w:tc>
          <w:tcPr>
            <w:tcW w:w="136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6</w:t>
            </w:r>
          </w:p>
        </w:tc>
        <w:tc>
          <w:tcPr>
            <w:tcW w:w="15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7</w:t>
            </w:r>
          </w:p>
        </w:tc>
      </w:tr>
      <w:tr>
        <w:tblPrEx>
          <w:tblCellMar>
            <w:top w:w="0" w:type="dxa"/>
            <w:left w:w="0" w:type="dxa"/>
            <w:bottom w:w="0" w:type="dxa"/>
            <w:right w:w="0" w:type="dxa"/>
          </w:tblCellMar>
        </w:tblPrEx>
        <w:trPr>
          <w:trHeight w:val="450" w:hRule="atLeast"/>
        </w:trPr>
        <w:tc>
          <w:tcPr>
            <w:tcW w:w="458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合计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1103.82</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val="en-US" w:eastAsia="zh-CN"/>
              </w:rPr>
              <w:t>1103.82</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tabs>
                <w:tab w:val="left" w:pos="499"/>
              </w:tabs>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eastAsia="zh-CN"/>
              </w:rPr>
              <w:tab/>
            </w:r>
            <w:r>
              <w:rPr>
                <w:rFonts w:hint="eastAsia" w:ascii="仿宋_GB2312" w:hAnsi="仿宋_GB2312" w:eastAsia="仿宋_GB2312" w:cs="仿宋_GB2312"/>
                <w:color w:val="auto"/>
                <w:sz w:val="22"/>
                <w:szCs w:val="22"/>
                <w:lang w:val="en-US" w:eastAsia="zh-CN"/>
              </w:rPr>
              <w:t>201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一般公共服务支出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1029.26</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val="en-US" w:eastAsia="zh-CN"/>
              </w:rPr>
              <w:t>1029.26</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r>
      <w:tr>
        <w:tblPrEx>
          <w:tblCellMar>
            <w:top w:w="0" w:type="dxa"/>
            <w:left w:w="0" w:type="dxa"/>
            <w:bottom w:w="0" w:type="dxa"/>
            <w:right w:w="0" w:type="dxa"/>
          </w:tblCellMar>
        </w:tblPrEx>
        <w:trPr>
          <w:trHeight w:val="495"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val="en-US" w:eastAsia="zh-CN"/>
              </w:rPr>
              <w:t>20123</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民族事务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val="en-US" w:eastAsia="zh-CN"/>
              </w:rPr>
              <w:t>1026.26</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val="en-US" w:eastAsia="zh-CN"/>
              </w:rPr>
              <w:t>1026.26</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val="en-US" w:eastAsia="zh-CN"/>
              </w:rPr>
              <w:t>2012301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行政运行</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val="en-US" w:eastAsia="zh-CN"/>
              </w:rPr>
              <w:t>427.23</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val="en-US" w:eastAsia="zh-CN"/>
              </w:rPr>
              <w:t>427.23</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val="en-US" w:eastAsia="zh-CN"/>
              </w:rPr>
              <w:t>2012302</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一般行政管理事务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val="en-US" w:eastAsia="zh-CN"/>
              </w:rPr>
              <w:t>58.39</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val="en-US" w:eastAsia="zh-CN"/>
              </w:rPr>
              <w:t>58.39</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val="en-US" w:eastAsia="zh-CN"/>
              </w:rPr>
              <w:t>2012304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eastAsia="zh-CN"/>
              </w:rPr>
              <w:t>民族工作专项</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val="en-US" w:eastAsia="zh-CN"/>
              </w:rPr>
              <w:t>141.00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lang w:val="en-US" w:eastAsia="zh-CN"/>
              </w:rPr>
              <w:t>141.00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　</w:t>
            </w: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2012399</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其他民族事务支出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399.64</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399.64</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20134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统战事务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2.32</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2.32</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2013404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宗教事务</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2.32</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2.32</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20199</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其他一般公共服务支出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0.68</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0.68</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2019999</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其他一般公共服务支出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0.68</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0.68</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208</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社会保障和就业支出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57.20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57.20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20805</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行政事业单位养老支出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57.20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57.20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2080501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行政事业单位离退休</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9.99</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9.99</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2080505</w:t>
            </w:r>
          </w:p>
        </w:tc>
        <w:tc>
          <w:tcPr>
            <w:tcW w:w="357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机关事业单位基本养老保险缴费支出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30.33</w:t>
            </w:r>
          </w:p>
        </w:tc>
        <w:tc>
          <w:tcPr>
            <w:tcW w:w="157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30.33</w:t>
            </w:r>
          </w:p>
        </w:tc>
        <w:tc>
          <w:tcPr>
            <w:tcW w:w="152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2080599</w:t>
            </w:r>
          </w:p>
        </w:tc>
        <w:tc>
          <w:tcPr>
            <w:tcW w:w="3576"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其他行政事业单位养老支出</w:t>
            </w:r>
          </w:p>
        </w:tc>
        <w:tc>
          <w:tcPr>
            <w:tcW w:w="168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16.88</w:t>
            </w:r>
          </w:p>
        </w:tc>
        <w:tc>
          <w:tcPr>
            <w:tcW w:w="1572"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16.88</w:t>
            </w:r>
          </w:p>
        </w:tc>
        <w:tc>
          <w:tcPr>
            <w:tcW w:w="152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210</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卫生健康支出</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17.37</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17.37</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21004</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公共卫生</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2100410</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突发公共卫生事件应急处理</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2.20</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2.20</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21011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行政事业单位医疗</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15.17</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15.17</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450" w:hRule="atLeast"/>
        </w:trPr>
        <w:tc>
          <w:tcPr>
            <w:tcW w:w="100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2101101</w:t>
            </w:r>
          </w:p>
        </w:tc>
        <w:tc>
          <w:tcPr>
            <w:tcW w:w="35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仿宋_GB2312" w:hAnsi="仿宋_GB2312" w:eastAsia="仿宋_GB2312" w:cs="仿宋_GB2312"/>
                <w:color w:val="auto"/>
                <w:sz w:val="22"/>
                <w:szCs w:val="22"/>
                <w:lang w:eastAsia="zh-CN"/>
              </w:rPr>
            </w:pPr>
            <w:r>
              <w:rPr>
                <w:rFonts w:hint="eastAsia" w:ascii="仿宋_GB2312" w:hAnsi="仿宋_GB2312" w:eastAsia="仿宋_GB2312" w:cs="仿宋_GB2312"/>
                <w:color w:val="auto"/>
                <w:sz w:val="22"/>
                <w:szCs w:val="22"/>
                <w:lang w:eastAsia="zh-CN"/>
              </w:rPr>
              <w:t>行政单位医疗</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15.17</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仿宋_GB2312" w:hAnsi="仿宋_GB2312" w:eastAsia="仿宋_GB2312" w:cs="仿宋_GB2312"/>
                <w:color w:val="auto"/>
                <w:sz w:val="22"/>
                <w:szCs w:val="22"/>
                <w:lang w:val="en-US" w:eastAsia="zh-CN"/>
              </w:rPr>
            </w:pPr>
            <w:r>
              <w:rPr>
                <w:rFonts w:hint="eastAsia" w:ascii="仿宋_GB2312" w:hAnsi="仿宋_GB2312" w:eastAsia="仿宋_GB2312" w:cs="仿宋_GB2312"/>
                <w:color w:val="auto"/>
                <w:sz w:val="22"/>
                <w:szCs w:val="22"/>
                <w:lang w:val="en-US" w:eastAsia="zh-CN"/>
              </w:rPr>
              <w:t>15.17</w:t>
            </w:r>
          </w:p>
        </w:tc>
        <w:tc>
          <w:tcPr>
            <w:tcW w:w="152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3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c>
          <w:tcPr>
            <w:tcW w:w="15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仿宋_GB2312" w:hAnsi="仿宋_GB2312" w:eastAsia="仿宋_GB2312" w:cs="仿宋_GB2312"/>
                <w:color w:val="auto"/>
                <w:sz w:val="22"/>
                <w:szCs w:val="22"/>
              </w:rPr>
            </w:pPr>
          </w:p>
        </w:tc>
      </w:tr>
      <w:tr>
        <w:tblPrEx>
          <w:tblCellMar>
            <w:top w:w="0" w:type="dxa"/>
            <w:left w:w="0" w:type="dxa"/>
            <w:bottom w:w="0" w:type="dxa"/>
            <w:right w:w="0" w:type="dxa"/>
          </w:tblCellMar>
        </w:tblPrEx>
        <w:trPr>
          <w:trHeight w:val="615" w:hRule="atLeast"/>
        </w:trPr>
        <w:tc>
          <w:tcPr>
            <w:tcW w:w="15428" w:type="dxa"/>
            <w:gridSpan w:val="11"/>
            <w:tcBorders>
              <w:top w:val="nil"/>
              <w:left w:val="nil"/>
              <w:bottom w:val="nil"/>
              <w:right w:val="nil"/>
            </w:tcBorders>
            <w:shd w:val="clear" w:color="auto" w:fill="auto"/>
            <w:tcMar>
              <w:top w:w="15" w:type="dxa"/>
              <w:left w:w="15" w:type="dxa"/>
              <w:bottom w:w="0" w:type="dxa"/>
              <w:right w:w="15" w:type="dxa"/>
            </w:tcMar>
            <w:vAlign w:val="center"/>
          </w:tcPr>
          <w:p>
            <w:pPr>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注：本表反映部门本年度取得的各项收入情况。</w:t>
            </w:r>
          </w:p>
        </w:tc>
      </w:tr>
    </w:tbl>
    <w:p>
      <w:pPr>
        <w:widowControl/>
        <w:jc w:val="left"/>
        <w:rPr>
          <w:rFonts w:ascii="Times New Roman" w:hAnsi="Times New Roman" w:eastAsia="黑体" w:cs="Times New Roman"/>
          <w:bCs/>
          <w:color w:val="auto"/>
          <w:kern w:val="0"/>
          <w:sz w:val="32"/>
          <w:szCs w:val="32"/>
        </w:rPr>
      </w:pPr>
      <w:r>
        <w:rPr>
          <w:rFonts w:ascii="Times New Roman" w:hAnsi="Times New Roman" w:eastAsia="黑体" w:cs="Times New Roman"/>
          <w:bCs/>
          <w:color w:val="auto"/>
          <w:kern w:val="0"/>
          <w:sz w:val="32"/>
          <w:szCs w:val="32"/>
        </w:rPr>
        <w:t xml:space="preserve"> </w:t>
      </w:r>
      <w:r>
        <w:rPr>
          <w:rFonts w:ascii="Times New Roman" w:hAnsi="Times New Roman" w:eastAsia="黑体" w:cs="Times New Roman"/>
          <w:bCs/>
          <w:color w:val="auto"/>
          <w:kern w:val="0"/>
          <w:sz w:val="32"/>
          <w:szCs w:val="32"/>
        </w:rPr>
        <w:br w:type="page"/>
      </w:r>
    </w:p>
    <w:tbl>
      <w:tblPr>
        <w:tblStyle w:val="5"/>
        <w:tblW w:w="15640" w:type="dxa"/>
        <w:tblInd w:w="93" w:type="dxa"/>
        <w:tblLayout w:type="fixed"/>
        <w:tblCellMar>
          <w:top w:w="0" w:type="dxa"/>
          <w:left w:w="108" w:type="dxa"/>
          <w:bottom w:w="0" w:type="dxa"/>
          <w:right w:w="108" w:type="dxa"/>
        </w:tblCellMar>
      </w:tblPr>
      <w:tblGrid>
        <w:gridCol w:w="1236"/>
        <w:gridCol w:w="263"/>
        <w:gridCol w:w="2615"/>
        <w:gridCol w:w="1656"/>
        <w:gridCol w:w="1692"/>
        <w:gridCol w:w="1452"/>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auto"/>
                <w:kern w:val="0"/>
                <w:sz w:val="32"/>
                <w:szCs w:val="32"/>
              </w:rPr>
            </w:pPr>
            <w:r>
              <w:rPr>
                <w:rFonts w:hint="eastAsia" w:ascii="方正大标宋简体" w:hAnsi="方正大标宋简体" w:eastAsia="方正大标宋简体" w:cs="方正大标宋简体"/>
                <w:color w:val="auto"/>
                <w:kern w:val="0"/>
                <w:sz w:val="36"/>
                <w:szCs w:val="36"/>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263"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2615"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656"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692"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452"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991"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991"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274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公开03表</w:t>
            </w:r>
          </w:p>
        </w:tc>
      </w:tr>
      <w:tr>
        <w:tblPrEx>
          <w:tblCellMar>
            <w:top w:w="0" w:type="dxa"/>
            <w:left w:w="108" w:type="dxa"/>
            <w:bottom w:w="0" w:type="dxa"/>
            <w:right w:w="108" w:type="dxa"/>
          </w:tblCellMar>
        </w:tblPrEx>
        <w:trPr>
          <w:trHeight w:val="403" w:hRule="atLeast"/>
        </w:trPr>
        <w:tc>
          <w:tcPr>
            <w:tcW w:w="4114" w:type="dxa"/>
            <w:gridSpan w:val="3"/>
            <w:tcBorders>
              <w:top w:val="nil"/>
              <w:left w:val="nil"/>
              <w:bottom w:val="nil"/>
              <w:right w:val="nil"/>
            </w:tcBorders>
            <w:shd w:val="clear" w:color="000000" w:fill="FFFFFF"/>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sz w:val="22"/>
                <w:szCs w:val="22"/>
              </w:rPr>
              <w:t>部门：</w:t>
            </w:r>
            <w:r>
              <w:rPr>
                <w:rFonts w:hint="eastAsia" w:ascii="仿宋_GB2312" w:hAnsi="仿宋_GB2312" w:eastAsia="仿宋_GB2312" w:cs="仿宋_GB2312"/>
                <w:color w:val="auto"/>
                <w:sz w:val="22"/>
                <w:szCs w:val="22"/>
                <w:lang w:eastAsia="zh-CN"/>
              </w:rPr>
              <w:t>怀化市民族宗教事务局</w:t>
            </w:r>
            <w:r>
              <w:rPr>
                <w:rFonts w:hint="eastAsia" w:ascii="仿宋_GB2312" w:hAnsi="仿宋_GB2312" w:eastAsia="仿宋_GB2312" w:cs="仿宋_GB2312"/>
                <w:color w:val="auto"/>
                <w:kern w:val="0"/>
                <w:sz w:val="22"/>
                <w:szCs w:val="22"/>
              </w:rPr>
              <w:t>　　</w:t>
            </w:r>
          </w:p>
        </w:tc>
        <w:tc>
          <w:tcPr>
            <w:tcW w:w="1656"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692"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452" w:type="dxa"/>
            <w:tcBorders>
              <w:top w:val="nil"/>
              <w:left w:val="nil"/>
              <w:bottom w:val="nil"/>
              <w:right w:val="nil"/>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991"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991"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274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单位：万元</w:t>
            </w:r>
          </w:p>
        </w:tc>
      </w:tr>
      <w:tr>
        <w:tblPrEx>
          <w:tblCellMar>
            <w:top w:w="0" w:type="dxa"/>
            <w:left w:w="108" w:type="dxa"/>
            <w:bottom w:w="0" w:type="dxa"/>
            <w:right w:w="108" w:type="dxa"/>
          </w:tblCellMar>
        </w:tblPrEx>
        <w:trPr>
          <w:trHeight w:val="595" w:hRule="atLeast"/>
        </w:trPr>
        <w:tc>
          <w:tcPr>
            <w:tcW w:w="411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项    目</w:t>
            </w:r>
          </w:p>
        </w:tc>
        <w:tc>
          <w:tcPr>
            <w:tcW w:w="165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本年支出合计</w:t>
            </w:r>
          </w:p>
        </w:tc>
        <w:tc>
          <w:tcPr>
            <w:tcW w:w="169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基本支出</w:t>
            </w:r>
          </w:p>
        </w:tc>
        <w:tc>
          <w:tcPr>
            <w:tcW w:w="14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功能分类科目编码</w:t>
            </w:r>
          </w:p>
        </w:tc>
        <w:tc>
          <w:tcPr>
            <w:tcW w:w="2615"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科目名称</w:t>
            </w:r>
          </w:p>
        </w:tc>
        <w:tc>
          <w:tcPr>
            <w:tcW w:w="16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16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14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2615"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16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169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14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411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栏次</w:t>
            </w:r>
          </w:p>
        </w:tc>
        <w:tc>
          <w:tcPr>
            <w:tcW w:w="1656"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w:t>
            </w:r>
          </w:p>
        </w:tc>
        <w:tc>
          <w:tcPr>
            <w:tcW w:w="169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2</w:t>
            </w:r>
          </w:p>
        </w:tc>
        <w:tc>
          <w:tcPr>
            <w:tcW w:w="145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6</w:t>
            </w:r>
          </w:p>
        </w:tc>
      </w:tr>
      <w:tr>
        <w:tblPrEx>
          <w:tblCellMar>
            <w:top w:w="0" w:type="dxa"/>
            <w:left w:w="108" w:type="dxa"/>
            <w:bottom w:w="0" w:type="dxa"/>
            <w:right w:w="108" w:type="dxa"/>
          </w:tblCellMar>
        </w:tblPrEx>
        <w:trPr>
          <w:trHeight w:val="595" w:hRule="atLeast"/>
        </w:trPr>
        <w:tc>
          <w:tcPr>
            <w:tcW w:w="411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合计</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1103.82</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463.95</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639.87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tabs>
                <w:tab w:val="left" w:pos="499"/>
              </w:tabs>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eastAsia="zh-CN"/>
              </w:rPr>
              <w:tab/>
            </w:r>
            <w:r>
              <w:rPr>
                <w:rFonts w:hint="eastAsia" w:ascii="仿宋_GB2312" w:hAnsi="仿宋_GB2312" w:eastAsia="仿宋_GB2312" w:cs="仿宋_GB2312"/>
                <w:color w:val="auto"/>
                <w:sz w:val="22"/>
                <w:szCs w:val="22"/>
                <w:lang w:val="en-US" w:eastAsia="zh-CN"/>
              </w:rPr>
              <w:t>201</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一般公共服务支出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1029.26</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391.59</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637.67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val="en-US" w:eastAsia="zh-CN"/>
              </w:rPr>
              <w:t>20123</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民族事务</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1026.26</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388.59</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637.67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r>
      <w:tr>
        <w:tblPrEx>
          <w:tblCellMar>
            <w:top w:w="0" w:type="dxa"/>
            <w:left w:w="108" w:type="dxa"/>
            <w:bottom w:w="0" w:type="dxa"/>
            <w:right w:w="108" w:type="dxa"/>
          </w:tblCellMar>
        </w:tblPrEx>
        <w:trPr>
          <w:trHeight w:val="90"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val="en-US" w:eastAsia="zh-CN"/>
              </w:rPr>
              <w:t>2012301</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行政运行</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427.23</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324.81</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102.42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val="en-US" w:eastAsia="zh-CN"/>
              </w:rPr>
              <w:t>2012302</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一般行政管理事务</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58.39</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58.39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val="en-US" w:eastAsia="zh-CN"/>
              </w:rPr>
              <w:t>2012304</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eastAsia="zh-CN"/>
              </w:rPr>
              <w:t>民族工作专项</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141.00</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141.00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2012399</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其他民族事务支出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399.64</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63.78</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335.85</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20134</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统战事务</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2.32</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2.32</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2013404</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宗教事务</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2.32</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2.32</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20199</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其他一般公共服务支出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0.68</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0.68</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2019999</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其他一般公共服务支出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0.68</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0.68</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208</w:t>
            </w:r>
          </w:p>
        </w:tc>
        <w:tc>
          <w:tcPr>
            <w:tcW w:w="261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社会保障和就业支出</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57.20</w:t>
            </w:r>
          </w:p>
        </w:tc>
        <w:tc>
          <w:tcPr>
            <w:tcW w:w="16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57.20</w:t>
            </w:r>
          </w:p>
        </w:tc>
        <w:tc>
          <w:tcPr>
            <w:tcW w:w="145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20805</w:t>
            </w:r>
          </w:p>
        </w:tc>
        <w:tc>
          <w:tcPr>
            <w:tcW w:w="2615" w:type="dxa"/>
            <w:tcBorders>
              <w:top w:val="single" w:color="auto" w:sz="4" w:space="0"/>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行政事业单位养老支出</w:t>
            </w:r>
          </w:p>
        </w:tc>
        <w:tc>
          <w:tcPr>
            <w:tcW w:w="165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57.20</w:t>
            </w:r>
          </w:p>
        </w:tc>
        <w:tc>
          <w:tcPr>
            <w:tcW w:w="16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57.20</w:t>
            </w:r>
          </w:p>
        </w:tc>
        <w:tc>
          <w:tcPr>
            <w:tcW w:w="145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2080501</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行政事业单位离退休</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9.99</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9.99</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2080505</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机关事业单位基本养老保险缴费支出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30.33</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30.33</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2080599</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其他行政事业单位养老支出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16.88</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16.88</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210</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卫生健康支出</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17.37</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15.17</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2.20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21004</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公共卫生</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2.20</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2.20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2100410</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突发公共卫生事件应急处理</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2.20</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2.20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21011</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行政事业单位医疗</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15.17</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15.17</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2101101</w:t>
            </w:r>
          </w:p>
        </w:tc>
        <w:tc>
          <w:tcPr>
            <w:tcW w:w="2615" w:type="dxa"/>
            <w:tcBorders>
              <w:top w:val="nil"/>
              <w:left w:val="nil"/>
              <w:bottom w:val="single" w:color="auto" w:sz="4" w:space="0"/>
              <w:right w:val="single" w:color="auto" w:sz="4" w:space="0"/>
            </w:tcBorders>
            <w:shd w:val="clear" w:color="000000" w:fill="FFFFFF"/>
            <w:noWrap/>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行政单位医疗</w:t>
            </w:r>
          </w:p>
        </w:tc>
        <w:tc>
          <w:tcPr>
            <w:tcW w:w="165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15.17</w:t>
            </w:r>
          </w:p>
        </w:tc>
        <w:tc>
          <w:tcPr>
            <w:tcW w:w="169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15.17</w:t>
            </w:r>
          </w:p>
        </w:tc>
        <w:tc>
          <w:tcPr>
            <w:tcW w:w="1452"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仿宋_GB2312" w:hAnsi="仿宋_GB2312" w:eastAsia="仿宋_GB2312" w:cs="仿宋_GB2312"/>
                <w:color w:val="auto"/>
                <w:kern w:val="0"/>
                <w:sz w:val="22"/>
                <w:szCs w:val="22"/>
              </w:rPr>
            </w:pPr>
          </w:p>
        </w:tc>
      </w:tr>
    </w:tbl>
    <w:p>
      <w:pPr>
        <w:widowControl/>
        <w:jc w:val="both"/>
        <w:rPr>
          <w:rFonts w:ascii="Times New Roman" w:hAnsi="Times New Roman" w:eastAsia="方正小标宋_GBK" w:cs="Times New Roman"/>
          <w:color w:val="auto"/>
          <w:kern w:val="0"/>
          <w:sz w:val="36"/>
          <w:szCs w:val="21"/>
        </w:rPr>
      </w:pPr>
    </w:p>
    <w:p>
      <w:pPr>
        <w:widowControl/>
        <w:jc w:val="both"/>
        <w:rPr>
          <w:rFonts w:ascii="Times New Roman" w:hAnsi="Times New Roman" w:eastAsia="方正小标宋_GBK" w:cs="Times New Roman"/>
          <w:color w:val="auto"/>
          <w:kern w:val="0"/>
          <w:sz w:val="36"/>
          <w:szCs w:val="21"/>
        </w:rPr>
      </w:pPr>
    </w:p>
    <w:p>
      <w:pPr>
        <w:widowControl/>
        <w:jc w:val="both"/>
        <w:rPr>
          <w:rFonts w:ascii="Times New Roman" w:hAnsi="Times New Roman" w:eastAsia="方正小标宋_GBK" w:cs="Times New Roman"/>
          <w:color w:val="auto"/>
          <w:kern w:val="0"/>
          <w:sz w:val="36"/>
          <w:szCs w:val="21"/>
        </w:rPr>
      </w:pPr>
    </w:p>
    <w:p>
      <w:pPr>
        <w:widowControl/>
        <w:jc w:val="both"/>
        <w:rPr>
          <w:rFonts w:ascii="Times New Roman" w:hAnsi="Times New Roman" w:eastAsia="方正小标宋_GBK" w:cs="Times New Roman"/>
          <w:color w:val="auto"/>
          <w:kern w:val="0"/>
          <w:sz w:val="36"/>
          <w:szCs w:val="21"/>
        </w:rPr>
      </w:pPr>
    </w:p>
    <w:p>
      <w:pPr>
        <w:widowControl/>
        <w:jc w:val="both"/>
        <w:rPr>
          <w:rFonts w:ascii="Times New Roman" w:hAnsi="Times New Roman" w:eastAsia="方正小标宋_GBK" w:cs="Times New Roman"/>
          <w:color w:val="auto"/>
          <w:kern w:val="0"/>
          <w:sz w:val="36"/>
          <w:szCs w:val="21"/>
        </w:rPr>
      </w:pPr>
    </w:p>
    <w:p>
      <w:pPr>
        <w:widowControl/>
        <w:jc w:val="both"/>
        <w:rPr>
          <w:rFonts w:ascii="Times New Roman" w:hAnsi="Times New Roman" w:eastAsia="方正小标宋_GBK" w:cs="Times New Roman"/>
          <w:color w:val="auto"/>
          <w:kern w:val="0"/>
          <w:sz w:val="36"/>
          <w:szCs w:val="21"/>
        </w:rPr>
      </w:pPr>
    </w:p>
    <w:tbl>
      <w:tblPr>
        <w:tblStyle w:val="5"/>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pPr>
              <w:widowControl/>
              <w:jc w:val="center"/>
              <w:rPr>
                <w:rFonts w:hint="default" w:ascii="华文中宋" w:hAnsi="华文中宋" w:eastAsia="华文中宋" w:cs="宋体"/>
                <w:color w:val="auto"/>
                <w:kern w:val="0"/>
                <w:sz w:val="32"/>
                <w:szCs w:val="32"/>
                <w:lang w:val="en-US" w:eastAsia="zh-CN"/>
              </w:rPr>
            </w:pPr>
            <w:bookmarkStart w:id="0" w:name="RANGE!A1:I22"/>
            <w:bookmarkEnd w:id="0"/>
            <w:bookmarkStart w:id="1" w:name="RANGE!A1:F16"/>
            <w:r>
              <w:rPr>
                <w:rFonts w:hint="eastAsia" w:ascii="方正大标宋简体" w:hAnsi="方正大标宋简体" w:eastAsia="方正大标宋简体" w:cs="方正大标宋简体"/>
                <w:color w:val="auto"/>
                <w:kern w:val="0"/>
                <w:sz w:val="36"/>
                <w:szCs w:val="36"/>
              </w:rPr>
              <w:t>财政拨款收入支出决算总表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hint="eastAsia" w:ascii="仿宋_GB2312" w:hAnsi="仿宋_GB2312" w:eastAsia="仿宋_GB2312" w:cs="仿宋_GB2312"/>
                <w:color w:val="auto"/>
                <w:kern w:val="0"/>
                <w:sz w:val="22"/>
                <w:szCs w:val="22"/>
              </w:rPr>
            </w:pPr>
          </w:p>
        </w:tc>
        <w:tc>
          <w:tcPr>
            <w:tcW w:w="436"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p>
        </w:tc>
        <w:tc>
          <w:tcPr>
            <w:tcW w:w="1078"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p>
        </w:tc>
        <w:tc>
          <w:tcPr>
            <w:tcW w:w="4043" w:type="dxa"/>
            <w:gridSpan w:val="2"/>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p>
        </w:tc>
        <w:tc>
          <w:tcPr>
            <w:tcW w:w="435"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p>
        </w:tc>
        <w:tc>
          <w:tcPr>
            <w:tcW w:w="1573"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p>
        </w:tc>
        <w:tc>
          <w:tcPr>
            <w:tcW w:w="139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p>
        </w:tc>
        <w:tc>
          <w:tcPr>
            <w:tcW w:w="139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p>
        </w:tc>
        <w:tc>
          <w:tcPr>
            <w:tcW w:w="1573" w:type="dxa"/>
            <w:tcBorders>
              <w:top w:val="nil"/>
              <w:left w:val="nil"/>
              <w:bottom w:val="nil"/>
              <w:right w:val="nil"/>
            </w:tcBorders>
            <w:shd w:val="clear" w:color="000000" w:fill="FFFFFF"/>
            <w:noWrap/>
            <w:vAlign w:val="center"/>
          </w:tcPr>
          <w:p>
            <w:pPr>
              <w:widowControl/>
              <w:jc w:val="both"/>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 xml:space="preserve">   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sz w:val="22"/>
                <w:szCs w:val="22"/>
              </w:rPr>
              <w:t>部门：</w:t>
            </w:r>
            <w:r>
              <w:rPr>
                <w:rFonts w:hint="eastAsia" w:ascii="仿宋_GB2312" w:hAnsi="仿宋_GB2312" w:eastAsia="仿宋_GB2312" w:cs="仿宋_GB2312"/>
                <w:color w:val="auto"/>
                <w:sz w:val="22"/>
                <w:szCs w:val="22"/>
                <w:lang w:eastAsia="zh-CN"/>
              </w:rPr>
              <w:t>怀化市民族宗教事务局</w:t>
            </w:r>
          </w:p>
        </w:tc>
        <w:tc>
          <w:tcPr>
            <w:tcW w:w="436"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078"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4043" w:type="dxa"/>
            <w:gridSpan w:val="2"/>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435"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573"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39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394"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573" w:type="dxa"/>
            <w:tcBorders>
              <w:top w:val="nil"/>
              <w:left w:val="nil"/>
              <w:bottom w:val="nil"/>
              <w:right w:val="nil"/>
            </w:tcBorders>
            <w:shd w:val="clear" w:color="000000" w:fill="FFFFFF"/>
            <w:noWrap/>
            <w:vAlign w:val="center"/>
          </w:tcPr>
          <w:p>
            <w:pPr>
              <w:widowControl/>
              <w:jc w:val="righ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金额</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国有资本经营预算财政拨款</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1103.82</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1029.26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1029.26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66"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eastAsia="zh-CN"/>
              </w:rPr>
            </w:pPr>
            <w:r>
              <w:rPr>
                <w:rFonts w:hint="eastAsia" w:ascii="仿宋_GB2312" w:hAnsi="仿宋_GB2312" w:eastAsia="仿宋_GB2312" w:cs="仿宋_GB2312"/>
                <w:color w:val="auto"/>
                <w:kern w:val="0"/>
                <w:sz w:val="22"/>
                <w:szCs w:val="22"/>
                <w:lang w:eastAsia="zh-CN"/>
              </w:rPr>
              <w:t>七、文化旅游与传媒支出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eastAsia="zh-CN"/>
              </w:rPr>
              <w:t>八、社会保障和就业支出</w:t>
            </w:r>
            <w:r>
              <w:rPr>
                <w:rFonts w:hint="eastAsia" w:ascii="仿宋_GB2312" w:hAnsi="仿宋_GB2312" w:eastAsia="仿宋_GB2312" w:cs="仿宋_GB2312"/>
                <w:color w:val="auto"/>
                <w:kern w:val="0"/>
                <w:sz w:val="22"/>
                <w:szCs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57.20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eastAsia="zh-CN"/>
              </w:rPr>
            </w:pPr>
            <w:r>
              <w:rPr>
                <w:rFonts w:hint="eastAsia" w:ascii="仿宋_GB2312" w:hAnsi="仿宋_GB2312" w:eastAsia="仿宋_GB2312" w:cs="仿宋_GB2312"/>
                <w:color w:val="auto"/>
                <w:kern w:val="0"/>
                <w:sz w:val="22"/>
                <w:szCs w:val="22"/>
                <w:lang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17.37</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rPr>
            </w:pPr>
            <w:r>
              <w:rPr>
                <w:rFonts w:hint="eastAsia" w:ascii="仿宋_GB2312" w:hAnsi="仿宋_GB2312" w:eastAsia="仿宋_GB2312" w:cs="仿宋_GB2312"/>
                <w:b/>
                <w:bCs/>
                <w:color w:val="auto"/>
                <w:kern w:val="0"/>
                <w:sz w:val="22"/>
                <w:szCs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1103.82</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rPr>
            </w:pPr>
            <w:r>
              <w:rPr>
                <w:rFonts w:hint="eastAsia" w:ascii="仿宋_GB2312" w:hAnsi="仿宋_GB2312" w:eastAsia="仿宋_GB2312" w:cs="仿宋_GB2312"/>
                <w:b/>
                <w:bCs/>
                <w:color w:val="auto"/>
                <w:kern w:val="0"/>
                <w:sz w:val="22"/>
                <w:szCs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eastAsia="zh-CN"/>
              </w:rPr>
            </w:pPr>
            <w:r>
              <w:rPr>
                <w:rFonts w:hint="eastAsia" w:ascii="仿宋_GB2312" w:hAnsi="仿宋_GB2312" w:eastAsia="仿宋_GB2312" w:cs="仿宋_GB2312"/>
                <w:color w:val="auto"/>
                <w:kern w:val="0"/>
                <w:sz w:val="22"/>
                <w:szCs w:val="22"/>
              </w:rPr>
              <w:t>2</w:t>
            </w:r>
            <w:r>
              <w:rPr>
                <w:rFonts w:hint="eastAsia" w:ascii="仿宋_GB2312" w:hAnsi="仿宋_GB2312" w:eastAsia="仿宋_GB2312" w:cs="仿宋_GB2312"/>
                <w:color w:val="auto"/>
                <w:kern w:val="0"/>
                <w:sz w:val="22"/>
                <w:szCs w:val="22"/>
                <w:lang w:val="en-US" w:eastAsia="zh-CN"/>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1103.82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lang w:val="en-US" w:eastAsia="zh-CN"/>
              </w:rPr>
            </w:pPr>
            <w:r>
              <w:rPr>
                <w:rFonts w:hint="eastAsia" w:ascii="仿宋_GB2312" w:hAnsi="仿宋_GB2312" w:eastAsia="仿宋_GB2312" w:cs="仿宋_GB2312"/>
                <w:b/>
                <w:bCs/>
                <w:color w:val="auto"/>
                <w:kern w:val="0"/>
                <w:sz w:val="22"/>
                <w:szCs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eastAsia="zh-CN"/>
              </w:rPr>
            </w:pPr>
            <w:r>
              <w:rPr>
                <w:rFonts w:hint="eastAsia" w:ascii="仿宋_GB2312" w:hAnsi="仿宋_GB2312" w:eastAsia="仿宋_GB2312" w:cs="仿宋_GB2312"/>
                <w:color w:val="auto"/>
                <w:kern w:val="0"/>
                <w:sz w:val="22"/>
                <w:szCs w:val="22"/>
              </w:rPr>
              <w:t>2</w:t>
            </w:r>
            <w:r>
              <w:rPr>
                <w:rFonts w:hint="eastAsia" w:ascii="仿宋_GB2312" w:hAnsi="仿宋_GB2312" w:eastAsia="仿宋_GB2312" w:cs="仿宋_GB2312"/>
                <w:color w:val="auto"/>
                <w:kern w:val="0"/>
                <w:sz w:val="22"/>
                <w:szCs w:val="22"/>
                <w:lang w:val="en-US" w:eastAsia="zh-CN"/>
              </w:rPr>
              <w:t>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eastAsia="zh-CN"/>
              </w:rPr>
            </w:pPr>
            <w:r>
              <w:rPr>
                <w:rFonts w:hint="eastAsia" w:ascii="仿宋_GB2312" w:hAnsi="仿宋_GB2312" w:eastAsia="仿宋_GB2312" w:cs="仿宋_GB2312"/>
                <w:color w:val="auto"/>
                <w:kern w:val="0"/>
                <w:sz w:val="22"/>
                <w:szCs w:val="22"/>
              </w:rPr>
              <w:t>2</w:t>
            </w:r>
            <w:r>
              <w:rPr>
                <w:rFonts w:hint="eastAsia" w:ascii="仿宋_GB2312" w:hAnsi="仿宋_GB2312" w:eastAsia="仿宋_GB2312" w:cs="仿宋_GB2312"/>
                <w:color w:val="auto"/>
                <w:kern w:val="0"/>
                <w:sz w:val="22"/>
                <w:szCs w:val="22"/>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eastAsia="zh-CN"/>
              </w:rPr>
            </w:pPr>
            <w:r>
              <w:rPr>
                <w:rFonts w:hint="eastAsia" w:ascii="仿宋_GB2312" w:hAnsi="仿宋_GB2312" w:eastAsia="仿宋_GB2312" w:cs="仿宋_GB2312"/>
                <w:color w:val="auto"/>
                <w:kern w:val="0"/>
                <w:sz w:val="22"/>
                <w:szCs w:val="22"/>
              </w:rPr>
              <w:t>2</w:t>
            </w:r>
            <w:r>
              <w:rPr>
                <w:rFonts w:hint="eastAsia" w:ascii="仿宋_GB2312" w:hAnsi="仿宋_GB2312" w:eastAsia="仿宋_GB2312" w:cs="仿宋_GB2312"/>
                <w:color w:val="auto"/>
                <w:kern w:val="0"/>
                <w:sz w:val="22"/>
                <w:szCs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eastAsia="zh-CN"/>
              </w:rPr>
            </w:pPr>
            <w:r>
              <w:rPr>
                <w:rFonts w:hint="eastAsia" w:ascii="仿宋_GB2312" w:hAnsi="仿宋_GB2312" w:eastAsia="仿宋_GB2312" w:cs="仿宋_GB2312"/>
                <w:color w:val="auto"/>
                <w:kern w:val="0"/>
                <w:sz w:val="22"/>
                <w:szCs w:val="22"/>
              </w:rPr>
              <w:t>2</w:t>
            </w:r>
            <w:r>
              <w:rPr>
                <w:rFonts w:hint="eastAsia" w:ascii="仿宋_GB2312" w:hAnsi="仿宋_GB2312" w:eastAsia="仿宋_GB2312" w:cs="仿宋_GB2312"/>
                <w:color w:val="auto"/>
                <w:kern w:val="0"/>
                <w:sz w:val="22"/>
                <w:szCs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b/>
                <w:bCs/>
                <w:color w:val="auto"/>
                <w:kern w:val="0"/>
                <w:sz w:val="22"/>
                <w:szCs w:val="22"/>
              </w:rPr>
            </w:pPr>
            <w:r>
              <w:rPr>
                <w:rFonts w:hint="eastAsia" w:ascii="仿宋_GB2312" w:hAnsi="仿宋_GB2312" w:eastAsia="仿宋_GB2312" w:cs="仿宋_GB2312"/>
                <w:b/>
                <w:bCs/>
                <w:color w:val="auto"/>
                <w:kern w:val="0"/>
                <w:sz w:val="22"/>
                <w:szCs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1103.82</w:t>
            </w:r>
          </w:p>
        </w:tc>
        <w:tc>
          <w:tcPr>
            <w:tcW w:w="341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b/>
                <w:bCs/>
                <w:color w:val="auto"/>
                <w:kern w:val="0"/>
                <w:sz w:val="22"/>
                <w:szCs w:val="22"/>
              </w:rPr>
            </w:pPr>
            <w:r>
              <w:rPr>
                <w:rFonts w:hint="eastAsia" w:ascii="仿宋_GB2312" w:hAnsi="仿宋_GB2312" w:eastAsia="仿宋_GB2312" w:cs="仿宋_GB2312"/>
                <w:b/>
                <w:bCs/>
                <w:color w:val="auto"/>
                <w:kern w:val="0"/>
                <w:sz w:val="22"/>
                <w:szCs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lang w:eastAsia="zh-CN"/>
              </w:rPr>
            </w:pPr>
            <w:r>
              <w:rPr>
                <w:rFonts w:hint="eastAsia" w:ascii="仿宋_GB2312" w:hAnsi="仿宋_GB2312" w:eastAsia="仿宋_GB2312" w:cs="仿宋_GB2312"/>
                <w:color w:val="auto"/>
                <w:kern w:val="0"/>
                <w:sz w:val="22"/>
                <w:szCs w:val="22"/>
              </w:rPr>
              <w:t>2</w:t>
            </w:r>
            <w:r>
              <w:rPr>
                <w:rFonts w:hint="eastAsia" w:ascii="仿宋_GB2312" w:hAnsi="仿宋_GB2312" w:eastAsia="仿宋_GB2312" w:cs="仿宋_GB2312"/>
                <w:color w:val="auto"/>
                <w:kern w:val="0"/>
                <w:sz w:val="22"/>
                <w:szCs w:val="22"/>
                <w:lang w:val="en-US" w:eastAsia="zh-CN"/>
              </w:rPr>
              <w:t>9</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1103.82</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1103.82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lang w:val="en-US" w:eastAsia="zh-CN"/>
              </w:rPr>
            </w:pPr>
            <w:r>
              <w:rPr>
                <w:rFonts w:hint="eastAsia" w:ascii="仿宋_GB2312" w:hAnsi="仿宋_GB2312" w:eastAsia="仿宋_GB2312" w:cs="仿宋_GB2312"/>
                <w:b/>
                <w:bCs/>
                <w:color w:val="auto"/>
                <w:kern w:val="0"/>
                <w:sz w:val="22"/>
                <w:szCs w:val="22"/>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color w:val="auto"/>
                <w:kern w:val="0"/>
                <w:sz w:val="22"/>
                <w:szCs w:val="22"/>
              </w:rPr>
            </w:pPr>
            <w:r>
              <w:rPr>
                <w:rFonts w:hint="eastAsia" w:ascii="仿宋_GB2312" w:hAnsi="仿宋_GB2312" w:eastAsia="仿宋_GB2312" w:cs="仿宋_GB2312"/>
                <w:b/>
                <w:bCs/>
                <w:color w:val="auto"/>
                <w:kern w:val="0"/>
                <w:sz w:val="22"/>
                <w:szCs w:val="22"/>
                <w:lang w:val="en-US" w:eastAsia="zh-CN"/>
              </w:rPr>
              <w:t>0.00</w:t>
            </w:r>
          </w:p>
        </w:tc>
      </w:tr>
      <w:tr>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注：本表反映部门本年度一般公共预算财政拨款、政府性基金预算财政拨款和国有资本经营预算财政拨款的总收支和年末结转结余情况。</w:t>
            </w:r>
          </w:p>
        </w:tc>
      </w:tr>
    </w:tbl>
    <w:p>
      <w:pPr>
        <w:widowControl/>
        <w:jc w:val="center"/>
        <w:rPr>
          <w:rFonts w:hint="eastAsia" w:ascii="仿宋_GB2312" w:hAnsi="仿宋_GB2312" w:eastAsia="仿宋_GB2312" w:cs="仿宋_GB2312"/>
          <w:color w:val="auto"/>
          <w:kern w:val="0"/>
          <w:sz w:val="22"/>
          <w:szCs w:val="22"/>
        </w:rPr>
      </w:pPr>
    </w:p>
    <w:p>
      <w:pPr>
        <w:widowControl/>
        <w:jc w:val="center"/>
        <w:rPr>
          <w:rFonts w:hint="eastAsia" w:ascii="方正大标宋简体" w:hAnsi="方正大标宋简体" w:eastAsia="方正大标宋简体" w:cs="方正大标宋简体"/>
          <w:color w:val="auto"/>
          <w:kern w:val="0"/>
          <w:sz w:val="36"/>
          <w:szCs w:val="36"/>
        </w:rPr>
      </w:pPr>
      <w:r>
        <w:rPr>
          <w:rFonts w:hint="eastAsia" w:ascii="方正大标宋简体" w:hAnsi="方正大标宋简体" w:eastAsia="方正大标宋简体" w:cs="方正大标宋简体"/>
          <w:color w:val="auto"/>
          <w:kern w:val="0"/>
          <w:sz w:val="36"/>
          <w:szCs w:val="36"/>
        </w:rPr>
        <w:t>一般公共预算财政拨款支出决算表</w:t>
      </w:r>
      <w:bookmarkEnd w:id="1"/>
    </w:p>
    <w:p>
      <w:pPr>
        <w:widowControl/>
        <w:spacing w:before="156" w:beforeLines="50"/>
        <w:jc w:val="left"/>
        <w:rPr>
          <w:rFonts w:hint="eastAsia" w:ascii="仿宋_GB2312" w:hAnsi="仿宋_GB2312" w:eastAsia="仿宋_GB2312" w:cs="仿宋_GB2312"/>
          <w:color w:val="auto"/>
          <w:kern w:val="0"/>
          <w:sz w:val="22"/>
          <w:szCs w:val="22"/>
        </w:rPr>
      </w:pPr>
      <w:r>
        <w:rPr>
          <w:rFonts w:hint="eastAsia"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Cs w:val="21"/>
        </w:rPr>
        <w:t xml:space="preserve">                     </w:t>
      </w:r>
      <w:r>
        <w:rPr>
          <w:rFonts w:hint="eastAsia"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Cs w:val="21"/>
        </w:rPr>
        <w:t xml:space="preserve">                                            </w:t>
      </w:r>
      <w:r>
        <w:rPr>
          <w:rFonts w:hint="eastAsia" w:ascii="Times New Roman" w:hAnsi="Times New Roman" w:eastAsia="仿宋_GB2312" w:cs="Times New Roman"/>
          <w:color w:val="auto"/>
          <w:kern w:val="0"/>
          <w:szCs w:val="21"/>
          <w:lang w:val="en-US" w:eastAsia="zh-CN"/>
        </w:rPr>
        <w:t xml:space="preserve">        </w:t>
      </w:r>
      <w:r>
        <w:rPr>
          <w:rFonts w:ascii="Times New Roman" w:hAnsi="Times New Roman" w:eastAsia="仿宋_GB2312" w:cs="Times New Roman"/>
          <w:color w:val="auto"/>
          <w:kern w:val="0"/>
          <w:szCs w:val="21"/>
        </w:rPr>
        <w:t xml:space="preserve"> </w:t>
      </w:r>
      <w:r>
        <w:rPr>
          <w:rFonts w:hint="eastAsia" w:ascii="Times New Roman" w:hAnsi="Times New Roman" w:eastAsia="仿宋_GB2312" w:cs="Times New Roman"/>
          <w:color w:val="auto"/>
          <w:kern w:val="0"/>
          <w:szCs w:val="21"/>
          <w:lang w:val="en-US" w:eastAsia="zh-CN"/>
        </w:rPr>
        <w:t xml:space="preserve">      </w:t>
      </w:r>
      <w:r>
        <w:rPr>
          <w:rFonts w:ascii="Times New Roman" w:hAnsi="Times New Roman" w:eastAsia="仿宋_GB2312" w:cs="Times New Roman"/>
          <w:color w:val="auto"/>
          <w:kern w:val="0"/>
          <w:szCs w:val="21"/>
        </w:rPr>
        <w:t xml:space="preserve">   </w:t>
      </w:r>
      <w:r>
        <w:rPr>
          <w:rFonts w:hint="eastAsia" w:ascii="仿宋_GB2312" w:hAnsi="仿宋_GB2312" w:eastAsia="仿宋_GB2312" w:cs="仿宋_GB2312"/>
          <w:color w:val="auto"/>
          <w:kern w:val="0"/>
          <w:sz w:val="22"/>
          <w:szCs w:val="22"/>
        </w:rPr>
        <w:t>公开05表</w:t>
      </w:r>
    </w:p>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w:t>
      </w:r>
      <w:r>
        <w:rPr>
          <w:rFonts w:hint="eastAsia" w:ascii="仿宋_GB2312" w:hAnsi="仿宋_GB2312" w:eastAsia="仿宋_GB2312" w:cs="仿宋_GB2312"/>
          <w:color w:val="auto"/>
          <w:kern w:val="0"/>
          <w:sz w:val="22"/>
          <w:szCs w:val="22"/>
          <w:lang w:eastAsia="zh-CN"/>
        </w:rPr>
        <w:t>部门：怀化市民族宗教事务局</w:t>
      </w:r>
      <w:r>
        <w:rPr>
          <w:rFonts w:hint="eastAsia" w:ascii="仿宋_GB2312" w:hAnsi="仿宋_GB2312" w:eastAsia="仿宋_GB2312" w:cs="仿宋_GB2312"/>
          <w:color w:val="auto"/>
          <w:kern w:val="0"/>
          <w:sz w:val="22"/>
          <w:szCs w:val="22"/>
        </w:rPr>
        <w:t xml:space="preserve">                                                                                           单位：万元</w:t>
      </w:r>
    </w:p>
    <w:tbl>
      <w:tblPr>
        <w:tblStyle w:val="5"/>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rPr>
            </w:pPr>
            <w:r>
              <w:rPr>
                <w:rFonts w:hint="eastAsia" w:ascii="仿宋_GB2312" w:hAnsi="仿宋_GB2312" w:eastAsia="仿宋_GB2312" w:cs="仿宋_GB2312"/>
                <w:b/>
                <w:color w:val="auto"/>
                <w:kern w:val="0"/>
                <w:sz w:val="22"/>
                <w:szCs w:val="22"/>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rPr>
            </w:pPr>
            <w:r>
              <w:rPr>
                <w:rFonts w:hint="eastAsia" w:ascii="仿宋_GB2312" w:hAnsi="仿宋_GB2312" w:eastAsia="仿宋_GB2312" w:cs="仿宋_GB2312"/>
                <w:b/>
                <w:color w:val="auto"/>
                <w:kern w:val="0"/>
                <w:sz w:val="22"/>
                <w:szCs w:val="22"/>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rPr>
            </w:pPr>
            <w:r>
              <w:rPr>
                <w:rFonts w:hint="eastAsia" w:ascii="仿宋_GB2312" w:hAnsi="仿宋_GB2312" w:eastAsia="仿宋_GB2312" w:cs="仿宋_GB2312"/>
                <w:b/>
                <w:color w:val="auto"/>
                <w:kern w:val="0"/>
                <w:sz w:val="22"/>
                <w:szCs w:val="22"/>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rPr>
            </w:pPr>
            <w:r>
              <w:rPr>
                <w:rFonts w:hint="eastAsia" w:ascii="仿宋_GB2312" w:hAnsi="仿宋_GB2312" w:eastAsia="仿宋_GB2312" w:cs="仿宋_GB2312"/>
                <w:b/>
                <w:color w:val="auto"/>
                <w:kern w:val="0"/>
                <w:sz w:val="22"/>
                <w:szCs w:val="22"/>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rPr>
            </w:pPr>
            <w:r>
              <w:rPr>
                <w:rFonts w:hint="eastAsia" w:ascii="仿宋_GB2312" w:hAnsi="仿宋_GB2312" w:eastAsia="仿宋_GB2312" w:cs="仿宋_GB2312"/>
                <w:b/>
                <w:color w:val="auto"/>
                <w:kern w:val="0"/>
                <w:sz w:val="22"/>
                <w:szCs w:val="22"/>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rPr>
            </w:pPr>
            <w:r>
              <w:rPr>
                <w:rFonts w:hint="eastAsia" w:ascii="仿宋_GB2312" w:hAnsi="仿宋_GB2312" w:eastAsia="仿宋_GB2312" w:cs="仿宋_GB2312"/>
                <w:b/>
                <w:color w:val="auto"/>
                <w:kern w:val="0"/>
                <w:sz w:val="22"/>
                <w:szCs w:val="22"/>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hint="eastAsia" w:ascii="仿宋_GB2312" w:hAnsi="仿宋_GB2312" w:eastAsia="仿宋_GB2312" w:cs="仿宋_GB2312"/>
                <w:b/>
                <w:color w:val="auto"/>
                <w:kern w:val="0"/>
                <w:sz w:val="22"/>
                <w:szCs w:val="22"/>
              </w:rPr>
            </w:pPr>
            <w:r>
              <w:rPr>
                <w:rFonts w:hint="eastAsia" w:ascii="仿宋_GB2312" w:hAnsi="仿宋_GB2312" w:eastAsia="仿宋_GB2312" w:cs="仿宋_GB2312"/>
                <w:b/>
                <w:color w:val="auto"/>
                <w:kern w:val="0"/>
                <w:sz w:val="22"/>
                <w:szCs w:val="22"/>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color w:val="auto"/>
                <w:kern w:val="0"/>
                <w:sz w:val="22"/>
                <w:szCs w:val="22"/>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1103.82</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463.95</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639.87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tabs>
                <w:tab w:val="left" w:pos="499"/>
              </w:tabs>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1029.26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391.59</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637.67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20123</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民族事务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1026.26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388.59</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537.67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2012301</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427.23</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324.81</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102.42</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2012302</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一般行政管理事务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58.39</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58.39</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2012304</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rPr>
              <w:t>　</w:t>
            </w:r>
            <w:r>
              <w:rPr>
                <w:rFonts w:hint="eastAsia" w:ascii="仿宋_GB2312" w:hAnsi="仿宋_GB2312" w:eastAsia="仿宋_GB2312" w:cs="仿宋_GB2312"/>
                <w:color w:val="auto"/>
                <w:sz w:val="22"/>
                <w:szCs w:val="22"/>
                <w:lang w:eastAsia="zh-CN"/>
              </w:rPr>
              <w:t>民族工作专项</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141.00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141.00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2012399</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其他民族事务支出</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399.64</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63.78</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335.85</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20134</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统战事务</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2.32</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2.32</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2013404</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宗教事务</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2.32</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2.32</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20199</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0.68</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0.68</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2019999</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0.68</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0.68</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208</w:t>
            </w:r>
          </w:p>
        </w:tc>
        <w:tc>
          <w:tcPr>
            <w:tcW w:w="3527" w:type="dxa"/>
            <w:tcBorders>
              <w:top w:val="nil"/>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社会保障和就业支出</w:t>
            </w:r>
          </w:p>
        </w:tc>
        <w:tc>
          <w:tcPr>
            <w:tcW w:w="3000"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57.20</w:t>
            </w:r>
          </w:p>
        </w:tc>
        <w:tc>
          <w:tcPr>
            <w:tcW w:w="3492" w:type="dxa"/>
            <w:tcBorders>
              <w:top w:val="nil"/>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57.20</w:t>
            </w:r>
          </w:p>
        </w:tc>
        <w:tc>
          <w:tcPr>
            <w:tcW w:w="3000"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57.20</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57.20</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2080501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行政事业单位离退休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9.99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9.99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30.33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30.33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2080599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其他行政事业单位养老支出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16.88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16.88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17.37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15.17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2.20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21004</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公共卫生</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2.20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2.20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2100410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突发公共卫生事件应急处理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2.20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2.20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15.17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15.17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jc w:val="cente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val="en-US" w:eastAsia="zh-CN"/>
              </w:rPr>
              <w:t>2101101</w:t>
            </w:r>
          </w:p>
        </w:tc>
        <w:tc>
          <w:tcPr>
            <w:tcW w:w="3527" w:type="dxa"/>
            <w:tcBorders>
              <w:top w:val="single" w:color="auto" w:sz="4" w:space="0"/>
              <w:left w:val="nil"/>
              <w:bottom w:val="single" w:color="auto" w:sz="8" w:space="0"/>
              <w:right w:val="single" w:color="auto" w:sz="4" w:space="0"/>
            </w:tcBorders>
            <w:shd w:val="clear" w:color="auto" w:fill="auto"/>
            <w:vAlign w:val="center"/>
          </w:tcPr>
          <w:p>
            <w:pPr>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color w:val="auto"/>
                <w:sz w:val="22"/>
                <w:szCs w:val="22"/>
                <w:lang w:eastAsia="zh-CN"/>
              </w:rPr>
              <w:t>行政单位医疗</w:t>
            </w:r>
          </w:p>
        </w:tc>
        <w:tc>
          <w:tcPr>
            <w:tcW w:w="3000" w:type="dxa"/>
            <w:tcBorders>
              <w:top w:val="single" w:color="auto" w:sz="4" w:space="0"/>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15.17</w:t>
            </w:r>
          </w:p>
        </w:tc>
        <w:tc>
          <w:tcPr>
            <w:tcW w:w="3492" w:type="dxa"/>
            <w:tcBorders>
              <w:top w:val="single" w:color="auto" w:sz="4" w:space="0"/>
              <w:left w:val="nil"/>
              <w:bottom w:val="single" w:color="auto" w:sz="8" w:space="0"/>
              <w:right w:val="single" w:color="auto" w:sz="4"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15.17</w:t>
            </w:r>
          </w:p>
        </w:tc>
        <w:tc>
          <w:tcPr>
            <w:tcW w:w="3000" w:type="dxa"/>
            <w:tcBorders>
              <w:top w:val="single" w:color="auto" w:sz="4" w:space="0"/>
              <w:left w:val="nil"/>
              <w:bottom w:val="single" w:color="auto" w:sz="8" w:space="0"/>
              <w:right w:val="single" w:color="auto" w:sz="8" w:space="0"/>
            </w:tcBorders>
            <w:shd w:val="clear" w:color="auto" w:fill="auto"/>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注：本表反映部门本年度一般公共预算财政拨款支出情况。</w:t>
            </w:r>
          </w:p>
        </w:tc>
      </w:tr>
    </w:tbl>
    <w:p>
      <w:pPr>
        <w:widowControl/>
        <w:jc w:val="left"/>
        <w:rPr>
          <w:rFonts w:ascii="Times New Roman" w:hAnsi="Times New Roman" w:eastAsia="仿宋_GB2312" w:cs="Times New Roman"/>
          <w:bCs/>
          <w:color w:val="auto"/>
          <w:kern w:val="0"/>
          <w:szCs w:val="21"/>
        </w:rPr>
      </w:pPr>
    </w:p>
    <w:p>
      <w:pPr>
        <w:widowControl/>
        <w:jc w:val="left"/>
        <w:rPr>
          <w:rFonts w:ascii="Times New Roman" w:hAnsi="Times New Roman" w:eastAsia="仿宋_GB2312" w:cs="Times New Roman"/>
          <w:bCs/>
          <w:color w:val="auto"/>
          <w:kern w:val="0"/>
          <w:szCs w:val="21"/>
        </w:rPr>
      </w:pPr>
      <w:r>
        <w:rPr>
          <w:rFonts w:ascii="Times New Roman" w:hAnsi="Times New Roman" w:eastAsia="仿宋_GB2312" w:cs="Times New Roman"/>
          <w:bCs/>
          <w:color w:val="auto"/>
          <w:kern w:val="0"/>
          <w:szCs w:val="21"/>
        </w:rPr>
        <w:br w:type="page"/>
      </w:r>
    </w:p>
    <w:tbl>
      <w:tblPr>
        <w:tblStyle w:val="5"/>
        <w:tblW w:w="0" w:type="auto"/>
        <w:tblInd w:w="0" w:type="dxa"/>
        <w:tblLayout w:type="fixed"/>
        <w:tblCellMar>
          <w:top w:w="0" w:type="dxa"/>
          <w:left w:w="108" w:type="dxa"/>
          <w:bottom w:w="0" w:type="dxa"/>
          <w:right w:w="108" w:type="dxa"/>
        </w:tblCellMar>
      </w:tblPr>
      <w:tblGrid>
        <w:gridCol w:w="931"/>
        <w:gridCol w:w="3348"/>
        <w:gridCol w:w="1704"/>
        <w:gridCol w:w="689"/>
        <w:gridCol w:w="2239"/>
        <w:gridCol w:w="1020"/>
        <w:gridCol w:w="798"/>
        <w:gridCol w:w="4062"/>
        <w:gridCol w:w="823"/>
      </w:tblGrid>
      <w:tr>
        <w:tblPrEx>
          <w:tblCellMar>
            <w:top w:w="0" w:type="dxa"/>
            <w:left w:w="108" w:type="dxa"/>
            <w:bottom w:w="0" w:type="dxa"/>
            <w:right w:w="108" w:type="dxa"/>
          </w:tblCellMar>
        </w:tblPrEx>
        <w:trPr>
          <w:trHeight w:val="113" w:hRule="atLeast"/>
        </w:trPr>
        <w:tc>
          <w:tcPr>
            <w:tcW w:w="15614" w:type="dxa"/>
            <w:gridSpan w:val="9"/>
            <w:tcBorders>
              <w:top w:val="nil"/>
              <w:left w:val="nil"/>
              <w:bottom w:val="nil"/>
              <w:right w:val="nil"/>
            </w:tcBorders>
            <w:shd w:val="clear" w:color="auto" w:fill="auto"/>
            <w:noWrap/>
            <w:vAlign w:val="center"/>
          </w:tcPr>
          <w:p>
            <w:pPr>
              <w:widowControl/>
              <w:jc w:val="center"/>
              <w:rPr>
                <w:rFonts w:hint="eastAsia" w:ascii="方正大标宋简体" w:hAnsi="方正大标宋简体" w:eastAsia="方正大标宋简体" w:cs="方正大标宋简体"/>
                <w:color w:val="auto"/>
                <w:kern w:val="0"/>
                <w:sz w:val="36"/>
                <w:szCs w:val="36"/>
              </w:rPr>
            </w:pPr>
            <w:bookmarkStart w:id="2" w:name="RANGE!A1:I34"/>
            <w:r>
              <w:rPr>
                <w:rFonts w:hint="eastAsia" w:ascii="方正大标宋简体" w:hAnsi="方正大标宋简体" w:eastAsia="方正大标宋简体" w:cs="方正大标宋简体"/>
                <w:color w:val="auto"/>
                <w:kern w:val="0"/>
                <w:sz w:val="36"/>
                <w:szCs w:val="36"/>
              </w:rPr>
              <w:t>一般公共预算财政拨款基本支出决算明细表</w:t>
            </w:r>
            <w:bookmarkEnd w:id="2"/>
          </w:p>
          <w:p>
            <w:pPr>
              <w:widowControl/>
              <w:wordWrap w:val="0"/>
              <w:jc w:val="right"/>
              <w:rPr>
                <w:rFonts w:hint="eastAsia" w:ascii="仿宋_GB2312" w:hAnsi="仿宋_GB2312" w:eastAsia="仿宋_GB2312" w:cs="仿宋_GB2312"/>
                <w:color w:val="auto"/>
                <w:kern w:val="0"/>
                <w:sz w:val="22"/>
                <w:szCs w:val="22"/>
              </w:rPr>
            </w:pPr>
            <w:r>
              <w:rPr>
                <w:rFonts w:hint="eastAsia"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Cs w:val="21"/>
              </w:rPr>
              <w:t xml:space="preserve"> </w:t>
            </w:r>
            <w:r>
              <w:rPr>
                <w:rFonts w:hint="eastAsia" w:ascii="Times New Roman" w:hAnsi="Times New Roman" w:eastAsia="仿宋_GB2312" w:cs="Times New Roman"/>
                <w:color w:val="auto"/>
                <w:kern w:val="0"/>
                <w:szCs w:val="21"/>
              </w:rPr>
              <w:t xml:space="preserve">                                                                                                                             </w:t>
            </w:r>
            <w:r>
              <w:rPr>
                <w:rFonts w:ascii="Times New Roman" w:hAnsi="Times New Roman" w:eastAsia="仿宋_GB2312" w:cs="Times New Roman"/>
                <w:color w:val="auto"/>
                <w:kern w:val="0"/>
                <w:szCs w:val="21"/>
              </w:rPr>
              <w:t xml:space="preserve"> </w:t>
            </w:r>
            <w:r>
              <w:rPr>
                <w:rFonts w:hint="eastAsia" w:ascii="仿宋_GB2312" w:hAnsi="仿宋_GB2312" w:eastAsia="仿宋_GB2312" w:cs="仿宋_GB2312"/>
                <w:color w:val="auto"/>
                <w:kern w:val="0"/>
                <w:sz w:val="22"/>
                <w:szCs w:val="22"/>
              </w:rPr>
              <w:t xml:space="preserve"> 公开06表</w:t>
            </w:r>
          </w:p>
          <w:p>
            <w:pPr>
              <w:widowControl/>
              <w:jc w:val="both"/>
              <w:rPr>
                <w:rFonts w:ascii="华文中宋" w:hAnsi="华文中宋" w:eastAsia="华文中宋" w:cs="宋体"/>
                <w:color w:val="auto"/>
                <w:kern w:val="0"/>
                <w:szCs w:val="32"/>
              </w:rPr>
            </w:pPr>
            <w:r>
              <w:rPr>
                <w:rFonts w:hint="eastAsia" w:ascii="仿宋_GB2312" w:hAnsi="仿宋_GB2312" w:eastAsia="仿宋_GB2312" w:cs="仿宋_GB2312"/>
                <w:color w:val="auto"/>
                <w:kern w:val="0"/>
                <w:sz w:val="22"/>
                <w:szCs w:val="22"/>
                <w:lang w:eastAsia="zh-CN"/>
              </w:rPr>
              <w:t>部门：怀化市民族宗教事务局</w:t>
            </w:r>
            <w:r>
              <w:rPr>
                <w:rFonts w:hint="eastAsia" w:ascii="仿宋_GB2312" w:hAnsi="仿宋_GB2312" w:eastAsia="仿宋_GB2312" w:cs="仿宋_GB2312"/>
                <w:color w:val="auto"/>
                <w:kern w:val="0"/>
                <w:sz w:val="22"/>
                <w:szCs w:val="22"/>
                <w:lang w:val="en-US" w:eastAsia="zh-CN"/>
              </w:rPr>
              <w:t xml:space="preserve">                                                                                                        </w:t>
            </w:r>
            <w:r>
              <w:rPr>
                <w:rFonts w:hint="eastAsia" w:ascii="仿宋_GB2312" w:hAnsi="仿宋_GB2312" w:eastAsia="仿宋_GB2312" w:cs="仿宋_GB2312"/>
                <w:color w:val="auto"/>
                <w:kern w:val="0"/>
                <w:sz w:val="22"/>
                <w:szCs w:val="22"/>
              </w:rPr>
              <w:t>单位：万元</w:t>
            </w:r>
          </w:p>
        </w:tc>
      </w:tr>
      <w:tr>
        <w:tblPrEx>
          <w:tblCellMar>
            <w:top w:w="0" w:type="dxa"/>
            <w:left w:w="108" w:type="dxa"/>
            <w:bottom w:w="0" w:type="dxa"/>
            <w:right w:w="108" w:type="dxa"/>
          </w:tblCellMar>
        </w:tblPrEx>
        <w:trPr>
          <w:trHeight w:val="113"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经济分类科目编码</w:t>
            </w:r>
          </w:p>
        </w:tc>
        <w:tc>
          <w:tcPr>
            <w:tcW w:w="334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科目名称</w:t>
            </w:r>
          </w:p>
        </w:tc>
        <w:tc>
          <w:tcPr>
            <w:tcW w:w="170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决算数</w:t>
            </w:r>
          </w:p>
        </w:tc>
        <w:tc>
          <w:tcPr>
            <w:tcW w:w="68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经济分类科目编码</w:t>
            </w:r>
          </w:p>
        </w:tc>
        <w:tc>
          <w:tcPr>
            <w:tcW w:w="2239"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科目名称</w:t>
            </w:r>
          </w:p>
        </w:tc>
        <w:tc>
          <w:tcPr>
            <w:tcW w:w="1020"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决算数</w:t>
            </w:r>
          </w:p>
        </w:tc>
        <w:tc>
          <w:tcPr>
            <w:tcW w:w="798"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经济分类科目编码</w:t>
            </w:r>
          </w:p>
        </w:tc>
        <w:tc>
          <w:tcPr>
            <w:tcW w:w="406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科目名称</w:t>
            </w:r>
          </w:p>
        </w:tc>
        <w:tc>
          <w:tcPr>
            <w:tcW w:w="82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决算数</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工资福利支出</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395.09</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商品和服务支出</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38.25</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307</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债务利息及费用支出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30101</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基本工资</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135.76</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30201</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办公费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30701</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国内债务付息</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30102</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津贴补贴</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66.43</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30202</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印刷费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30702</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国外债务付息</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30103</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奖金</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115.83</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30203</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咨询费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资本性支出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30106</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伙食补助费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9.27</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30204</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手续费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31001</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房屋建筑物购建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30107</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绩效工资</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30205</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水费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31002</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办公设备购置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30108</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机关事业单位基本养老保险缴费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30.33</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30206</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电费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31003</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专用设备购置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30109</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职业年金缴费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30207</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邮电费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31005</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基础设施建设</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30110</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职工基本医疗保险缴费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16.93</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30208</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取暖费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31006</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大型修缮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30111</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公务员医疗补助缴费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10.92</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30209</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物业管理费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31007</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信息网络及软件购置更新</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30112</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其他社会保障缴费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3.82</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30211</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差旅费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1.6</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31008</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物资储备</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30113</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住房公积金</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0.72</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30212</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因公出国（境）费用</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31009</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土地补偿</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30114</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医疗费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30213</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维修（护）费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31010</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安置补助</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30199</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其他工资福利支出</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5.07</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30214</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租赁费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31011</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地上附着物和青苗补偿</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对个人和家庭的补助</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30.61</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30215</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会议费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1.2</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31012</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拆迁补偿</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30301</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离休费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30216</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培训费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31013</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公务用车购置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30302</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退休费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30217</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公务接待费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0.77</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31019</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其他交通工具购置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30303</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退职（役）费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30218</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专用材料费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31021</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文物和陈列品购置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30304</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抚恤金</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30224</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被装购置费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31022</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无形资产购置</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30305</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生活补助</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3.15</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30225</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专用燃料费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31099</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其他资本性支出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30306</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救济费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30226</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劳务费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399</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其他支出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30307</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医疗费补助</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30227</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委托业务费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39906</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赠与</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30308</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助学金</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30228</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工会经费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39907</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国家赔偿费用支出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30309</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奖励金</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30229</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福利费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0.29</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39908</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对民间非营利组织和群众性自治组织补贴</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30310</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个人农业生产补贴</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30231</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公务用车运行维护费</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0.61</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39999</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其他支出</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30311</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代缴社会保险费</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0.00</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30239</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其他交通费用</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19.78</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30399</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其他对个人和家庭的补助</w:t>
            </w:r>
          </w:p>
        </w:tc>
        <w:tc>
          <w:tcPr>
            <w:tcW w:w="170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26.87</w:t>
            </w:r>
          </w:p>
        </w:tc>
        <w:tc>
          <w:tcPr>
            <w:tcW w:w="689"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30240</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税金及附加费用</w:t>
            </w:r>
          </w:p>
        </w:tc>
        <w:tc>
          <w:tcPr>
            <w:tcW w:w="102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lang w:val="en-US" w:eastAsia="zh-CN"/>
              </w:rPr>
              <w:t>0.00</w:t>
            </w:r>
          </w:p>
        </w:tc>
        <w:tc>
          <w:tcPr>
            <w:tcW w:w="79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r>
      <w:tr>
        <w:tblPrEx>
          <w:tblCellMar>
            <w:top w:w="0" w:type="dxa"/>
            <w:left w:w="108" w:type="dxa"/>
            <w:bottom w:w="0" w:type="dxa"/>
            <w:right w:w="108" w:type="dxa"/>
          </w:tblCellMar>
        </w:tblPrEx>
        <w:trPr>
          <w:trHeight w:val="397" w:hRule="exact"/>
        </w:trPr>
        <w:tc>
          <w:tcPr>
            <w:tcW w:w="93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334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1704"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68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30299</w:t>
            </w:r>
          </w:p>
        </w:tc>
        <w:tc>
          <w:tcPr>
            <w:tcW w:w="2239"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xml:space="preserve">  其他商品和服务支出</w:t>
            </w:r>
          </w:p>
        </w:tc>
        <w:tc>
          <w:tcPr>
            <w:tcW w:w="1020"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rPr>
              <w:t>　</w:t>
            </w:r>
            <w:r>
              <w:rPr>
                <w:rFonts w:hint="eastAsia" w:ascii="仿宋_GB2312" w:hAnsi="仿宋_GB2312" w:eastAsia="仿宋_GB2312" w:cs="仿宋_GB2312"/>
                <w:color w:val="auto"/>
                <w:kern w:val="0"/>
                <w:sz w:val="22"/>
                <w:szCs w:val="22"/>
                <w:lang w:val="en-US" w:eastAsia="zh-CN"/>
              </w:rPr>
              <w:t>13.92</w:t>
            </w:r>
          </w:p>
        </w:tc>
        <w:tc>
          <w:tcPr>
            <w:tcW w:w="798"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406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c>
          <w:tcPr>
            <w:tcW w:w="8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　</w:t>
            </w:r>
          </w:p>
        </w:tc>
      </w:tr>
      <w:tr>
        <w:tblPrEx>
          <w:tblCellMar>
            <w:top w:w="0" w:type="dxa"/>
            <w:left w:w="108" w:type="dxa"/>
            <w:bottom w:w="0" w:type="dxa"/>
            <w:right w:w="108" w:type="dxa"/>
          </w:tblCellMar>
        </w:tblPrEx>
        <w:trPr>
          <w:trHeight w:val="397" w:hRule="exact"/>
        </w:trPr>
        <w:tc>
          <w:tcPr>
            <w:tcW w:w="4279"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人员经费合计</w:t>
            </w:r>
          </w:p>
        </w:tc>
        <w:tc>
          <w:tcPr>
            <w:tcW w:w="170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rPr>
              <w:t>　</w:t>
            </w:r>
            <w:r>
              <w:rPr>
                <w:rFonts w:hint="eastAsia" w:ascii="仿宋_GB2312" w:hAnsi="仿宋_GB2312" w:eastAsia="仿宋_GB2312" w:cs="仿宋_GB2312"/>
                <w:color w:val="auto"/>
                <w:kern w:val="0"/>
                <w:sz w:val="22"/>
                <w:szCs w:val="22"/>
                <w:lang w:val="en-US" w:eastAsia="zh-CN"/>
              </w:rPr>
              <w:t>425.7</w:t>
            </w:r>
          </w:p>
        </w:tc>
        <w:tc>
          <w:tcPr>
            <w:tcW w:w="880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公用经费合计</w:t>
            </w:r>
          </w:p>
        </w:tc>
        <w:tc>
          <w:tcPr>
            <w:tcW w:w="82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color w:val="auto"/>
                <w:kern w:val="0"/>
                <w:sz w:val="22"/>
                <w:szCs w:val="22"/>
                <w:lang w:val="en-US" w:eastAsia="zh-CN"/>
              </w:rPr>
            </w:pPr>
            <w:r>
              <w:rPr>
                <w:rFonts w:hint="eastAsia" w:ascii="仿宋_GB2312" w:hAnsi="仿宋_GB2312" w:eastAsia="仿宋_GB2312" w:cs="仿宋_GB2312"/>
                <w:color w:val="auto"/>
                <w:kern w:val="0"/>
                <w:sz w:val="22"/>
                <w:szCs w:val="22"/>
                <w:lang w:val="en-US" w:eastAsia="zh-CN"/>
              </w:rPr>
              <w:t>38.25</w:t>
            </w:r>
          </w:p>
        </w:tc>
      </w:tr>
      <w:tr>
        <w:tblPrEx>
          <w:tblCellMar>
            <w:top w:w="0" w:type="dxa"/>
            <w:left w:w="108" w:type="dxa"/>
            <w:bottom w:w="0" w:type="dxa"/>
            <w:right w:w="108" w:type="dxa"/>
          </w:tblCellMar>
        </w:tblPrEx>
        <w:trPr>
          <w:trHeight w:val="397" w:hRule="exact"/>
        </w:trPr>
        <w:tc>
          <w:tcPr>
            <w:tcW w:w="15614" w:type="dxa"/>
            <w:gridSpan w:val="9"/>
            <w:tcBorders>
              <w:top w:val="nil"/>
              <w:left w:val="nil"/>
              <w:bottom w:val="nil"/>
              <w:right w:val="nil"/>
            </w:tcBorders>
            <w:shd w:val="clear" w:color="auto" w:fill="auto"/>
            <w:noWrap/>
            <w:vAlign w:val="center"/>
          </w:tcPr>
          <w:p>
            <w:pPr>
              <w:widowControl/>
              <w:jc w:val="left"/>
              <w:rPr>
                <w:rFonts w:hint="eastAsia" w:ascii="仿宋_GB2312" w:hAnsi="仿宋_GB2312" w:eastAsia="仿宋_GB2312" w:cs="仿宋_GB2312"/>
                <w:color w:val="auto"/>
                <w:kern w:val="0"/>
                <w:sz w:val="22"/>
                <w:szCs w:val="22"/>
              </w:rPr>
            </w:pPr>
            <w:r>
              <w:rPr>
                <w:rFonts w:hint="eastAsia" w:ascii="仿宋_GB2312" w:hAnsi="仿宋_GB2312" w:eastAsia="仿宋_GB2312" w:cs="仿宋_GB2312"/>
                <w:color w:val="auto"/>
                <w:kern w:val="0"/>
                <w:sz w:val="22"/>
                <w:szCs w:val="22"/>
              </w:rPr>
              <w:t>注：本表反映部门本年度一般公共预算财政拨款基本支出明细情况。</w:t>
            </w:r>
          </w:p>
        </w:tc>
      </w:tr>
    </w:tbl>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p>
      <w:pPr>
        <w:widowControl/>
        <w:jc w:val="left"/>
        <w:rPr>
          <w:rFonts w:hint="eastAsia" w:ascii="仿宋_GB2312" w:hAnsi="仿宋_GB2312" w:eastAsia="仿宋_GB2312" w:cs="仿宋_GB2312"/>
          <w:color w:val="auto"/>
          <w:kern w:val="0"/>
          <w:sz w:val="22"/>
          <w:szCs w:val="22"/>
        </w:rPr>
      </w:pP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3"/>
        <w:gridCol w:w="239"/>
        <w:gridCol w:w="1359"/>
        <w:gridCol w:w="2077"/>
        <w:gridCol w:w="2324"/>
        <w:gridCol w:w="2049"/>
        <w:gridCol w:w="2056"/>
        <w:gridCol w:w="2049"/>
        <w:gridCol w:w="21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5291" w:type="dxa"/>
            <w:gridSpan w:val="9"/>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auto"/>
                <w:sz w:val="32"/>
                <w:szCs w:val="32"/>
                <w:u w:val="none"/>
              </w:rPr>
            </w:pPr>
            <w:r>
              <w:rPr>
                <w:rFonts w:hint="eastAsia" w:ascii="方正大标宋简体" w:hAnsi="方正大标宋简体" w:eastAsia="方正大标宋简体" w:cs="方正大标宋简体"/>
                <w:color w:val="auto"/>
                <w:kern w:val="0"/>
                <w:sz w:val="36"/>
                <w:szCs w:val="36"/>
                <w:lang w:val="en-US" w:eastAsia="zh-CN"/>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73"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b w:val="0"/>
                <w:bCs w:val="0"/>
                <w:i w:val="0"/>
                <w:color w:val="auto"/>
                <w:sz w:val="22"/>
                <w:szCs w:val="22"/>
                <w:u w:val="none"/>
              </w:rPr>
            </w:pPr>
          </w:p>
        </w:tc>
        <w:tc>
          <w:tcPr>
            <w:tcW w:w="239"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b w:val="0"/>
                <w:bCs w:val="0"/>
                <w:i w:val="0"/>
                <w:color w:val="auto"/>
                <w:sz w:val="22"/>
                <w:szCs w:val="22"/>
                <w:u w:val="none"/>
              </w:rPr>
            </w:pPr>
          </w:p>
        </w:tc>
        <w:tc>
          <w:tcPr>
            <w:tcW w:w="1359"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b w:val="0"/>
                <w:bCs w:val="0"/>
                <w:i w:val="0"/>
                <w:color w:val="auto"/>
                <w:sz w:val="22"/>
                <w:szCs w:val="22"/>
                <w:u w:val="none"/>
              </w:rPr>
            </w:pPr>
          </w:p>
        </w:tc>
        <w:tc>
          <w:tcPr>
            <w:tcW w:w="2077"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u w:val="none"/>
              </w:rPr>
            </w:pPr>
          </w:p>
        </w:tc>
        <w:tc>
          <w:tcPr>
            <w:tcW w:w="2324"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u w:val="none"/>
              </w:rPr>
            </w:pPr>
          </w:p>
        </w:tc>
        <w:tc>
          <w:tcPr>
            <w:tcW w:w="2056"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u w:val="none"/>
              </w:rPr>
            </w:pPr>
          </w:p>
        </w:tc>
        <w:tc>
          <w:tcPr>
            <w:tcW w:w="2165"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972" w:type="dxa"/>
            <w:gridSpan w:val="5"/>
            <w:tcBorders>
              <w:top w:val="nil"/>
              <w:left w:val="nil"/>
              <w:bottom w:val="nil"/>
              <w:right w:val="nil"/>
            </w:tcBorders>
            <w:shd w:val="clear" w:color="auto" w:fill="FFFFFF"/>
            <w:noWrap/>
            <w:vAlign w:val="center"/>
          </w:tcPr>
          <w:p>
            <w:pP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部门：怀化市民族宗教事务局</w:t>
            </w:r>
          </w:p>
        </w:tc>
        <w:tc>
          <w:tcPr>
            <w:tcW w:w="2049"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u w:val="none"/>
              </w:rPr>
            </w:pPr>
          </w:p>
        </w:tc>
        <w:tc>
          <w:tcPr>
            <w:tcW w:w="2056"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nil"/>
              <w:left w:val="nil"/>
              <w:bottom w:val="nil"/>
              <w:right w:val="nil"/>
            </w:tcBorders>
            <w:shd w:val="clear" w:color="auto" w:fill="FFFFFF"/>
            <w:vAlign w:val="center"/>
          </w:tcPr>
          <w:p>
            <w:pPr>
              <w:rPr>
                <w:rFonts w:hint="eastAsia" w:ascii="仿宋_GB2312" w:hAnsi="仿宋_GB2312" w:eastAsia="仿宋_GB2312" w:cs="仿宋_GB2312"/>
                <w:b w:val="0"/>
                <w:bCs w:val="0"/>
                <w:i w:val="0"/>
                <w:color w:val="auto"/>
                <w:sz w:val="22"/>
                <w:szCs w:val="22"/>
                <w:u w:val="none"/>
              </w:rPr>
            </w:pPr>
          </w:p>
        </w:tc>
        <w:tc>
          <w:tcPr>
            <w:tcW w:w="2165"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25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 xml:space="preserve">项 </w:t>
            </w:r>
            <w:r>
              <w:rPr>
                <w:rStyle w:val="12"/>
                <w:rFonts w:hint="eastAsia" w:ascii="仿宋_GB2312" w:hAnsi="仿宋_GB2312" w:eastAsia="仿宋_GB2312" w:cs="仿宋_GB2312"/>
                <w:b w:val="0"/>
                <w:bCs w:val="0"/>
                <w:color w:val="auto"/>
                <w:sz w:val="22"/>
                <w:szCs w:val="22"/>
                <w:lang w:val="en-US" w:eastAsia="zh-CN" w:bidi="ar"/>
              </w:rPr>
              <w:t xml:space="preserve">   </w:t>
            </w:r>
            <w:r>
              <w:rPr>
                <w:rStyle w:val="13"/>
                <w:rFonts w:hint="eastAsia" w:ascii="仿宋_GB2312" w:hAnsi="仿宋_GB2312" w:eastAsia="仿宋_GB2312" w:cs="仿宋_GB2312"/>
                <w:b w:val="0"/>
                <w:bCs w:val="0"/>
                <w:color w:val="auto"/>
                <w:sz w:val="22"/>
                <w:szCs w:val="22"/>
                <w:lang w:val="en-US" w:eastAsia="zh-CN" w:bidi="ar"/>
              </w:rPr>
              <w:t>目</w:t>
            </w:r>
          </w:p>
        </w:tc>
        <w:tc>
          <w:tcPr>
            <w:tcW w:w="2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年初结转和结余</w:t>
            </w:r>
          </w:p>
        </w:tc>
        <w:tc>
          <w:tcPr>
            <w:tcW w:w="23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本年收入</w:t>
            </w:r>
          </w:p>
        </w:tc>
        <w:tc>
          <w:tcPr>
            <w:tcW w:w="615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本年支出</w:t>
            </w:r>
          </w:p>
        </w:tc>
        <w:tc>
          <w:tcPr>
            <w:tcW w:w="21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2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科目代码</w:t>
            </w:r>
          </w:p>
        </w:tc>
        <w:tc>
          <w:tcPr>
            <w:tcW w:w="13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科目名称</w:t>
            </w:r>
          </w:p>
        </w:tc>
        <w:tc>
          <w:tcPr>
            <w:tcW w:w="2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小计</w:t>
            </w:r>
          </w:p>
        </w:tc>
        <w:tc>
          <w:tcPr>
            <w:tcW w:w="2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 xml:space="preserve">基本支出  </w:t>
            </w:r>
          </w:p>
        </w:tc>
        <w:tc>
          <w:tcPr>
            <w:tcW w:w="2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项目支出</w:t>
            </w:r>
          </w:p>
        </w:tc>
        <w:tc>
          <w:tcPr>
            <w:tcW w:w="2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2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13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3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1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5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栏次</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1</w:t>
            </w: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2</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3</w:t>
            </w: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4</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5</w:t>
            </w: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257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auto"/>
                <w:sz w:val="22"/>
                <w:szCs w:val="22"/>
                <w:u w:val="none"/>
              </w:rPr>
            </w:pPr>
            <w:r>
              <w:rPr>
                <w:rFonts w:hint="eastAsia" w:ascii="仿宋_GB2312" w:hAnsi="仿宋_GB2312" w:eastAsia="仿宋_GB2312" w:cs="仿宋_GB2312"/>
                <w:b w:val="0"/>
                <w:bCs w:val="0"/>
                <w:i w:val="0"/>
                <w:color w:val="auto"/>
                <w:kern w:val="0"/>
                <w:sz w:val="22"/>
                <w:szCs w:val="22"/>
                <w:u w:val="none"/>
                <w:lang w:val="en-US" w:eastAsia="zh-CN" w:bidi="ar"/>
              </w:rPr>
              <w:t>合计</w:t>
            </w: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b w:val="0"/>
                <w:bCs w:val="0"/>
                <w:i w:val="0"/>
                <w:color w:val="auto"/>
                <w:sz w:val="22"/>
                <w:szCs w:val="22"/>
                <w:u w:val="none"/>
              </w:rPr>
            </w:pP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c>
          <w:tcPr>
            <w:tcW w:w="216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b w:val="0"/>
                <w:bCs w:val="0"/>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5291" w:type="dxa"/>
            <w:gridSpan w:val="9"/>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u w:val="none"/>
                <w:lang w:val="en-US" w:eastAsia="zh-CN" w:bidi="ar"/>
              </w:rPr>
            </w:pPr>
            <w:r>
              <w:rPr>
                <w:rFonts w:hint="eastAsia" w:ascii="仿宋_GB2312" w:hAnsi="仿宋_GB2312" w:eastAsia="仿宋_GB2312" w:cs="仿宋_GB2312"/>
                <w:b w:val="0"/>
                <w:bCs w:val="0"/>
                <w:i w:val="0"/>
                <w:color w:val="auto"/>
                <w:kern w:val="0"/>
                <w:sz w:val="22"/>
                <w:szCs w:val="22"/>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u w:val="none"/>
                <w:lang w:val="en-US" w:eastAsia="zh-CN" w:bidi="ar"/>
              </w:rPr>
            </w:pPr>
            <w:r>
              <w:rPr>
                <w:rFonts w:hint="eastAsia" w:ascii="仿宋_GB2312" w:hAnsi="仿宋_GB2312" w:eastAsia="仿宋_GB2312" w:cs="仿宋_GB2312"/>
                <w:b w:val="0"/>
                <w:bCs w:val="0"/>
                <w:i w:val="0"/>
                <w:color w:val="auto"/>
                <w:kern w:val="0"/>
                <w:sz w:val="22"/>
                <w:szCs w:val="22"/>
                <w:u w:val="none"/>
                <w:lang w:val="en-US" w:eastAsia="zh-CN" w:bidi="ar"/>
              </w:rPr>
              <w:t>说明：我单位没有政府性基金收入，也没有使用政府性基金安排的支出，故本表无数据。</w:t>
            </w:r>
          </w:p>
        </w:tc>
      </w:tr>
    </w:tbl>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u w:val="none"/>
          <w:lang w:val="en-US" w:eastAsia="zh-CN" w:bidi="ar"/>
        </w:rPr>
      </w:pPr>
    </w:p>
    <w:tbl>
      <w:tblPr>
        <w:tblStyle w:val="5"/>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auto"/>
                <w:sz w:val="32"/>
                <w:szCs w:val="32"/>
                <w:u w:val="none"/>
              </w:rPr>
            </w:pPr>
            <w:r>
              <w:rPr>
                <w:rFonts w:hint="eastAsia" w:ascii="方正大标宋简体" w:hAnsi="方正大标宋简体" w:eastAsia="方正大标宋简体" w:cs="方正大标宋简体"/>
                <w:color w:val="auto"/>
                <w:kern w:val="0"/>
                <w:sz w:val="36"/>
                <w:szCs w:val="36"/>
                <w:lang w:val="en-US" w:eastAsia="zh-CN"/>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i w:val="0"/>
                <w:color w:val="auto"/>
                <w:sz w:val="22"/>
                <w:szCs w:val="22"/>
                <w:u w:val="none"/>
              </w:rPr>
            </w:pPr>
          </w:p>
        </w:tc>
        <w:tc>
          <w:tcPr>
            <w:tcW w:w="701"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i w:val="0"/>
                <w:color w:val="auto"/>
                <w:sz w:val="22"/>
                <w:szCs w:val="22"/>
                <w:u w:val="none"/>
              </w:rPr>
            </w:pPr>
          </w:p>
        </w:tc>
        <w:tc>
          <w:tcPr>
            <w:tcW w:w="2292" w:type="dxa"/>
            <w:tcBorders>
              <w:top w:val="nil"/>
              <w:left w:val="nil"/>
              <w:bottom w:val="nil"/>
              <w:right w:val="nil"/>
            </w:tcBorders>
            <w:shd w:val="clear" w:color="auto" w:fill="FFFFFF"/>
            <w:vAlign w:val="center"/>
          </w:tcPr>
          <w:p>
            <w:pPr>
              <w:jc w:val="center"/>
              <w:rPr>
                <w:rFonts w:hint="eastAsia" w:ascii="仿宋_GB2312" w:hAnsi="仿宋_GB2312" w:eastAsia="仿宋_GB2312" w:cs="仿宋_GB2312"/>
                <w:i w:val="0"/>
                <w:color w:val="auto"/>
                <w:sz w:val="22"/>
                <w:szCs w:val="22"/>
                <w:u w:val="none"/>
              </w:rPr>
            </w:pPr>
          </w:p>
        </w:tc>
        <w:tc>
          <w:tcPr>
            <w:tcW w:w="3315"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3315"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417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pPr>
              <w:jc w:val="both"/>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部门：怀化市民族宗教事务局</w:t>
            </w:r>
          </w:p>
        </w:tc>
        <w:tc>
          <w:tcPr>
            <w:tcW w:w="3315"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3315"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417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 xml:space="preserve">项    </w:t>
            </w:r>
            <w:r>
              <w:rPr>
                <w:rStyle w:val="14"/>
                <w:rFonts w:hint="eastAsia" w:ascii="仿宋_GB2312" w:hAnsi="仿宋_GB2312" w:eastAsia="仿宋_GB2312" w:cs="仿宋_GB2312"/>
                <w:color w:val="auto"/>
                <w:sz w:val="22"/>
                <w:szCs w:val="22"/>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u w:val="none"/>
                <w:lang w:val="en-US" w:eastAsia="zh-CN" w:bidi="ar"/>
              </w:rPr>
            </w:pPr>
            <w:r>
              <w:rPr>
                <w:rFonts w:hint="eastAsia" w:ascii="仿宋_GB2312" w:hAnsi="仿宋_GB2312" w:eastAsia="仿宋_GB2312" w:cs="仿宋_GB2312"/>
                <w:b w:val="0"/>
                <w:bCs w:val="0"/>
                <w:i w:val="0"/>
                <w:color w:val="auto"/>
                <w:kern w:val="0"/>
                <w:sz w:val="22"/>
                <w:szCs w:val="22"/>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仿宋_GB2312" w:hAnsi="仿宋_GB2312" w:eastAsia="仿宋_GB2312" w:cs="仿宋_GB2312"/>
                <w:b w:val="0"/>
                <w:bCs w:val="0"/>
                <w:i w:val="0"/>
                <w:color w:val="auto"/>
                <w:kern w:val="0"/>
                <w:sz w:val="22"/>
                <w:szCs w:val="22"/>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b w:val="0"/>
                <w:bCs w:val="0"/>
                <w:i w:val="0"/>
                <w:color w:val="auto"/>
                <w:kern w:val="0"/>
                <w:sz w:val="22"/>
                <w:szCs w:val="22"/>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auto"/>
          <w:kern w:val="0"/>
          <w:sz w:val="36"/>
          <w:szCs w:val="36"/>
        </w:rPr>
      </w:pPr>
    </w:p>
    <w:tbl>
      <w:tblPr>
        <w:tblStyle w:val="5"/>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
        <w:gridCol w:w="1252"/>
        <w:gridCol w:w="1243"/>
        <w:gridCol w:w="1237"/>
        <w:gridCol w:w="1237"/>
        <w:gridCol w:w="1236"/>
        <w:gridCol w:w="1239"/>
        <w:gridCol w:w="1249"/>
        <w:gridCol w:w="1239"/>
        <w:gridCol w:w="1239"/>
        <w:gridCol w:w="1237"/>
        <w:gridCol w:w="13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auto"/>
                <w:sz w:val="32"/>
                <w:szCs w:val="32"/>
                <w:u w:val="none"/>
              </w:rPr>
            </w:pPr>
            <w:r>
              <w:rPr>
                <w:rFonts w:hint="eastAsia" w:ascii="方正大标宋简体" w:hAnsi="方正大标宋简体" w:eastAsia="方正大标宋简体" w:cs="方正大标宋简体"/>
                <w:color w:val="auto"/>
                <w:kern w:val="0"/>
                <w:sz w:val="36"/>
                <w:szCs w:val="36"/>
                <w:lang w:val="en-US" w:eastAsia="zh-CN"/>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416"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52"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3"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3"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53"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911" w:type="dxa"/>
            <w:gridSpan w:val="3"/>
            <w:tcBorders>
              <w:top w:val="nil"/>
              <w:left w:val="nil"/>
              <w:bottom w:val="nil"/>
              <w:right w:val="nil"/>
            </w:tcBorders>
            <w:shd w:val="clear" w:color="auto" w:fill="FFFFFF"/>
            <w:noWrap/>
            <w:vAlign w:val="center"/>
          </w:tcPr>
          <w:p>
            <w:pP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部门：怀化市民族宗教事务局</w:t>
            </w:r>
          </w:p>
        </w:tc>
        <w:tc>
          <w:tcPr>
            <w:tcW w:w="1243"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53"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1244" w:type="dxa"/>
            <w:tcBorders>
              <w:top w:val="nil"/>
              <w:left w:val="nil"/>
              <w:bottom w:val="nil"/>
              <w:right w:val="nil"/>
            </w:tcBorders>
            <w:shd w:val="clear" w:color="auto" w:fill="FFFFFF"/>
            <w:vAlign w:val="center"/>
          </w:tcPr>
          <w:p>
            <w:pPr>
              <w:rPr>
                <w:rFonts w:hint="eastAsia" w:ascii="仿宋_GB2312" w:hAnsi="仿宋_GB2312" w:eastAsia="仿宋_GB2312" w:cs="仿宋_GB2312"/>
                <w:i w:val="0"/>
                <w:color w:val="auto"/>
                <w:sz w:val="22"/>
                <w:szCs w:val="22"/>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64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预算数</w:t>
            </w:r>
          </w:p>
        </w:tc>
        <w:tc>
          <w:tcPr>
            <w:tcW w:w="749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合计</w:t>
            </w:r>
          </w:p>
        </w:tc>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因公出国（境）费</w:t>
            </w:r>
          </w:p>
        </w:tc>
        <w:tc>
          <w:tcPr>
            <w:tcW w:w="3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公务用车购置及运行维护费</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公务接待费</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合计</w:t>
            </w:r>
          </w:p>
        </w:tc>
        <w:tc>
          <w:tcPr>
            <w:tcW w:w="12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因公出国（境）费</w:t>
            </w:r>
          </w:p>
        </w:tc>
        <w:tc>
          <w:tcPr>
            <w:tcW w:w="37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公务用车购置及运行维护费</w:t>
            </w:r>
          </w:p>
        </w:tc>
        <w:tc>
          <w:tcPr>
            <w:tcW w:w="1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小计</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公务用车</w:t>
            </w:r>
          </w:p>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购置费</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公务用车</w:t>
            </w:r>
          </w:p>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运行维护费</w:t>
            </w: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12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小计</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公务用车</w:t>
            </w:r>
          </w:p>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购置费</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kern w:val="0"/>
                <w:sz w:val="22"/>
                <w:szCs w:val="22"/>
                <w:u w:val="none"/>
                <w:lang w:val="en-US" w:eastAsia="zh-CN" w:bidi="ar"/>
              </w:rPr>
            </w:pPr>
            <w:r>
              <w:rPr>
                <w:rFonts w:hint="eastAsia" w:ascii="仿宋_GB2312" w:hAnsi="仿宋_GB2312" w:eastAsia="仿宋_GB2312" w:cs="仿宋_GB2312"/>
                <w:i w:val="0"/>
                <w:color w:val="auto"/>
                <w:kern w:val="0"/>
                <w:sz w:val="22"/>
                <w:szCs w:val="22"/>
                <w:u w:val="none"/>
                <w:lang w:val="en-US" w:eastAsia="zh-CN" w:bidi="ar"/>
              </w:rPr>
              <w:t>公务用车</w:t>
            </w:r>
          </w:p>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运行维护费</w:t>
            </w: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4</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6</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8</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9</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11</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31.39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0.00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25.09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20.05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5.04</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6.3</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28.72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0.00</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25.08</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20.05</w:t>
            </w:r>
          </w:p>
        </w:tc>
        <w:tc>
          <w:tcPr>
            <w:tcW w:w="12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5.03</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hAnsi="仿宋_GB2312" w:eastAsia="仿宋_GB2312" w:cs="仿宋_GB2312"/>
                <w:i w:val="0"/>
                <w:color w:val="auto"/>
                <w:sz w:val="22"/>
                <w:szCs w:val="22"/>
                <w:u w:val="none"/>
                <w:lang w:val="en-US" w:eastAsia="zh-CN"/>
              </w:rPr>
            </w:pPr>
            <w:r>
              <w:rPr>
                <w:rFonts w:hint="eastAsia" w:ascii="仿宋_GB2312" w:hAnsi="仿宋_GB2312" w:eastAsia="仿宋_GB2312" w:cs="仿宋_GB2312"/>
                <w:i w:val="0"/>
                <w:color w:val="auto"/>
                <w:sz w:val="22"/>
                <w:szCs w:val="22"/>
                <w:u w:val="none"/>
                <w:lang w:val="en-US" w:eastAsia="zh-CN"/>
              </w:rPr>
              <w:t>3.64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2"/>
                <w:szCs w:val="22"/>
                <w:u w:val="none"/>
              </w:rPr>
            </w:pPr>
            <w:r>
              <w:rPr>
                <w:rFonts w:hint="eastAsia" w:ascii="仿宋_GB2312" w:hAnsi="仿宋_GB2312" w:eastAsia="仿宋_GB2312" w:cs="仿宋_GB2312"/>
                <w:i w:val="0"/>
                <w:color w:val="auto"/>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color w:val="auto"/>
          <w:kern w:val="0"/>
          <w:sz w:val="24"/>
          <w:szCs w:val="24"/>
        </w:rPr>
      </w:pPr>
    </w:p>
    <w:p>
      <w:pPr>
        <w:autoSpaceDE w:val="0"/>
        <w:autoSpaceDN w:val="0"/>
        <w:adjustRightInd w:val="0"/>
        <w:ind w:left="315" w:leftChars="150"/>
        <w:jc w:val="left"/>
        <w:rPr>
          <w:rFonts w:ascii="宋体" w:eastAsia="宋体" w:cs="宋体"/>
          <w:color w:val="auto"/>
          <w:kern w:val="0"/>
          <w:sz w:val="24"/>
          <w:szCs w:val="24"/>
        </w:rPr>
      </w:pPr>
    </w:p>
    <w:p>
      <w:pPr>
        <w:autoSpaceDE w:val="0"/>
        <w:autoSpaceDN w:val="0"/>
        <w:adjustRightInd w:val="0"/>
        <w:ind w:left="315" w:leftChars="150"/>
        <w:jc w:val="left"/>
        <w:rPr>
          <w:rFonts w:ascii="宋体" w:eastAsia="宋体" w:cs="宋体"/>
          <w:color w:val="auto"/>
          <w:kern w:val="0"/>
          <w:sz w:val="24"/>
          <w:szCs w:val="24"/>
        </w:rPr>
      </w:pPr>
    </w:p>
    <w:p>
      <w:pPr>
        <w:widowControl/>
        <w:jc w:val="both"/>
        <w:rPr>
          <w:color w:val="auto"/>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color w:val="auto"/>
          <w:szCs w:val="21"/>
        </w:rPr>
        <w:br w:type="page"/>
      </w:r>
    </w:p>
    <w:p>
      <w:pPr>
        <w:pStyle w:val="9"/>
        <w:jc w:val="center"/>
        <w:rPr>
          <w:color w:val="auto"/>
          <w:sz w:val="72"/>
          <w:szCs w:val="72"/>
        </w:rPr>
      </w:pPr>
    </w:p>
    <w:p>
      <w:pPr>
        <w:pStyle w:val="9"/>
        <w:jc w:val="center"/>
        <w:rPr>
          <w:color w:val="auto"/>
          <w:sz w:val="72"/>
          <w:szCs w:val="72"/>
        </w:rPr>
      </w:pPr>
    </w:p>
    <w:p>
      <w:pPr>
        <w:pStyle w:val="9"/>
        <w:jc w:val="center"/>
        <w:rPr>
          <w:color w:val="auto"/>
          <w:sz w:val="72"/>
          <w:szCs w:val="72"/>
        </w:rPr>
      </w:pPr>
    </w:p>
    <w:p>
      <w:pPr>
        <w:pStyle w:val="9"/>
        <w:jc w:val="center"/>
        <w:rPr>
          <w:color w:val="auto"/>
          <w:sz w:val="72"/>
          <w:szCs w:val="72"/>
        </w:rPr>
      </w:pPr>
    </w:p>
    <w:p>
      <w:pPr>
        <w:pStyle w:val="9"/>
        <w:jc w:val="center"/>
        <w:rPr>
          <w:color w:val="auto"/>
          <w:sz w:val="72"/>
          <w:szCs w:val="72"/>
        </w:rPr>
      </w:pPr>
    </w:p>
    <w:p>
      <w:pPr>
        <w:pStyle w:val="9"/>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第三部分</w:t>
      </w:r>
    </w:p>
    <w:p>
      <w:pPr>
        <w:pStyle w:val="9"/>
        <w:jc w:val="center"/>
        <w:rPr>
          <w:rFonts w:hint="eastAsia" w:ascii="方正小标宋_GBK" w:hAnsi="方正小标宋_GBK" w:eastAsia="方正小标宋_GBK" w:cs="方正小标宋_GBK"/>
          <w:color w:val="auto"/>
          <w:sz w:val="70"/>
          <w:szCs w:val="70"/>
        </w:rPr>
      </w:pPr>
    </w:p>
    <w:p>
      <w:pPr>
        <w:pStyle w:val="9"/>
        <w:jc w:val="center"/>
        <w:rPr>
          <w:rFonts w:hint="eastAsia" w:ascii="方正小标宋_GBK" w:hAnsi="方正小标宋_GBK" w:eastAsia="方正小标宋_GBK" w:cs="方正小标宋_GBK"/>
          <w:color w:val="auto"/>
          <w:sz w:val="70"/>
          <w:szCs w:val="70"/>
        </w:rPr>
      </w:pPr>
      <w:r>
        <w:rPr>
          <w:rFonts w:hint="eastAsia" w:ascii="方正小标宋_GBK" w:hAnsi="方正小标宋_GBK" w:eastAsia="方正小标宋_GBK" w:cs="方正小标宋_GBK"/>
          <w:color w:val="auto"/>
          <w:sz w:val="70"/>
          <w:szCs w:val="70"/>
        </w:rPr>
        <w:t>202</w:t>
      </w:r>
      <w:r>
        <w:rPr>
          <w:rFonts w:hint="eastAsia" w:ascii="方正小标宋_GBK" w:hAnsi="方正小标宋_GBK" w:eastAsia="方正小标宋_GBK" w:cs="方正小标宋_GBK"/>
          <w:color w:val="auto"/>
          <w:sz w:val="70"/>
          <w:szCs w:val="70"/>
          <w:lang w:val="en-US" w:eastAsia="zh-CN"/>
        </w:rPr>
        <w:t>2</w:t>
      </w:r>
      <w:r>
        <w:rPr>
          <w:rFonts w:hint="eastAsia" w:ascii="方正小标宋_GBK" w:hAnsi="方正小标宋_GBK" w:eastAsia="方正小标宋_GBK" w:cs="方正小标宋_GBK"/>
          <w:color w:val="auto"/>
          <w:sz w:val="70"/>
          <w:szCs w:val="70"/>
        </w:rPr>
        <w:t>年度部门决算情况说明</w:t>
      </w:r>
    </w:p>
    <w:p>
      <w:pPr>
        <w:widowControl/>
        <w:jc w:val="left"/>
        <w:rPr>
          <w:rFonts w:asciiTheme="minorEastAsia" w:hAnsiTheme="minorEastAsia" w:eastAsiaTheme="minorEastAsia"/>
          <w:color w:val="auto"/>
          <w:sz w:val="32"/>
          <w:szCs w:val="32"/>
        </w:rPr>
      </w:pPr>
      <w:r>
        <w:rPr>
          <w:rFonts w:hint="eastAsia" w:ascii="方正小标宋_GBK" w:hAnsi="方正小标宋_GBK" w:eastAsia="方正小标宋_GBK" w:cs="方正小标宋_GBK"/>
          <w:color w:val="auto"/>
          <w:sz w:val="70"/>
          <w:szCs w:val="70"/>
        </w:rPr>
        <w:br w:type="page"/>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一、收入支出决算总体情况说明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年度收、支总计</w:t>
      </w:r>
      <w:r>
        <w:rPr>
          <w:rFonts w:hint="eastAsia" w:ascii="仿宋_GB2312" w:hAnsi="仿宋_GB2312" w:eastAsia="仿宋_GB2312" w:cs="仿宋_GB2312"/>
          <w:color w:val="auto"/>
          <w:sz w:val="32"/>
          <w:szCs w:val="32"/>
          <w:lang w:val="en-US" w:eastAsia="zh-CN"/>
        </w:rPr>
        <w:t>1103.82</w:t>
      </w:r>
      <w:r>
        <w:rPr>
          <w:rFonts w:hint="eastAsia" w:ascii="仿宋_GB2312" w:hAnsi="仿宋_GB2312" w:eastAsia="仿宋_GB2312" w:cs="仿宋_GB2312"/>
          <w:color w:val="auto"/>
          <w:sz w:val="32"/>
          <w:szCs w:val="32"/>
        </w:rPr>
        <w:t>万元。与上年相比，增加</w:t>
      </w:r>
      <w:r>
        <w:rPr>
          <w:rFonts w:hint="eastAsia" w:ascii="仿宋_GB2312" w:hAnsi="仿宋_GB2312" w:eastAsia="仿宋_GB2312" w:cs="仿宋_GB2312"/>
          <w:color w:val="auto"/>
          <w:sz w:val="32"/>
          <w:szCs w:val="32"/>
          <w:lang w:val="en-US" w:eastAsia="zh-CN"/>
        </w:rPr>
        <w:t>364.58</w:t>
      </w:r>
      <w:r>
        <w:rPr>
          <w:rFonts w:hint="eastAsia" w:ascii="仿宋_GB2312" w:hAnsi="仿宋_GB2312" w:eastAsia="仿宋_GB2312" w:cs="仿宋_GB2312"/>
          <w:color w:val="auto"/>
          <w:sz w:val="32"/>
          <w:szCs w:val="32"/>
        </w:rPr>
        <w:t>万元，增长</w:t>
      </w:r>
      <w:r>
        <w:rPr>
          <w:rFonts w:hint="eastAsia" w:ascii="仿宋_GB2312" w:hAnsi="仿宋_GB2312" w:eastAsia="仿宋_GB2312" w:cs="仿宋_GB2312"/>
          <w:color w:val="auto"/>
          <w:sz w:val="32"/>
          <w:szCs w:val="32"/>
          <w:lang w:val="en-US" w:eastAsia="zh-CN"/>
        </w:rPr>
        <w:t>49.32</w:t>
      </w:r>
      <w:r>
        <w:rPr>
          <w:rFonts w:hint="eastAsia" w:ascii="仿宋_GB2312" w:hAnsi="仿宋_GB2312" w:eastAsia="仿宋_GB2312" w:cs="仿宋_GB2312"/>
          <w:color w:val="auto"/>
          <w:sz w:val="32"/>
          <w:szCs w:val="32"/>
        </w:rPr>
        <w:t>%，主要是因为</w:t>
      </w:r>
      <w:r>
        <w:rPr>
          <w:rFonts w:hint="eastAsia" w:ascii="仿宋_GB2312" w:hAnsi="仿宋_GB2312" w:eastAsia="仿宋_GB2312" w:cs="仿宋_GB2312"/>
          <w:color w:val="auto"/>
          <w:sz w:val="32"/>
          <w:szCs w:val="32"/>
          <w:lang w:eastAsia="zh-CN"/>
        </w:rPr>
        <w:t>增加湖南省第十届民族运动会收支</w:t>
      </w:r>
      <w:r>
        <w:rPr>
          <w:rFonts w:hint="eastAsia" w:ascii="仿宋_GB2312" w:hAnsi="仿宋_GB2312" w:eastAsia="仿宋_GB2312" w:cs="仿宋_GB2312"/>
          <w:color w:val="auto"/>
          <w:sz w:val="32"/>
          <w:szCs w:val="32"/>
          <w:lang w:val="en-US" w:eastAsia="zh-CN"/>
        </w:rPr>
        <w:t>100万元，怀化市第六届民族运动会收支216.09万元，创建全国民族团结进步示范市19.77万元，省级民族工作专项资金27万元。</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年度收入合计</w:t>
      </w:r>
      <w:r>
        <w:rPr>
          <w:rFonts w:hint="eastAsia" w:ascii="仿宋_GB2312" w:hAnsi="仿宋_GB2312" w:eastAsia="仿宋_GB2312" w:cs="仿宋_GB2312"/>
          <w:color w:val="auto"/>
          <w:sz w:val="32"/>
          <w:szCs w:val="32"/>
          <w:lang w:val="en-US" w:eastAsia="zh-CN"/>
        </w:rPr>
        <w:t>1103.82</w:t>
      </w:r>
      <w:r>
        <w:rPr>
          <w:rFonts w:hint="eastAsia" w:ascii="仿宋_GB2312" w:hAnsi="仿宋_GB2312" w:eastAsia="仿宋_GB2312" w:cs="仿宋_GB2312"/>
          <w:color w:val="auto"/>
          <w:sz w:val="32"/>
          <w:szCs w:val="32"/>
        </w:rPr>
        <w:t>万元，其中：财政拨款收入</w:t>
      </w:r>
      <w:r>
        <w:rPr>
          <w:rFonts w:hint="eastAsia" w:ascii="仿宋_GB2312" w:hAnsi="仿宋_GB2312" w:eastAsia="仿宋_GB2312" w:cs="仿宋_GB2312"/>
          <w:color w:val="auto"/>
          <w:sz w:val="32"/>
          <w:szCs w:val="32"/>
          <w:lang w:val="en-US" w:eastAsia="zh-CN"/>
        </w:rPr>
        <w:t>1103.82</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%；上级补助收入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%；事业收入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%；经营收入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%；附属单位上缴收入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%；其他收入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年度支出合计</w:t>
      </w:r>
      <w:r>
        <w:rPr>
          <w:rFonts w:hint="eastAsia" w:ascii="仿宋_GB2312" w:hAnsi="仿宋_GB2312" w:eastAsia="仿宋_GB2312" w:cs="仿宋_GB2312"/>
          <w:color w:val="auto"/>
          <w:sz w:val="32"/>
          <w:szCs w:val="32"/>
          <w:lang w:val="en-US" w:eastAsia="zh-CN"/>
        </w:rPr>
        <w:t>1103.82</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463.95</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42.03</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639.87</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57.97</w:t>
      </w:r>
      <w:r>
        <w:rPr>
          <w:rFonts w:hint="eastAsia" w:ascii="仿宋_GB2312" w:hAnsi="仿宋_GB2312" w:eastAsia="仿宋_GB2312" w:cs="仿宋_GB2312"/>
          <w:color w:val="auto"/>
          <w:sz w:val="32"/>
          <w:szCs w:val="32"/>
        </w:rPr>
        <w:t>%；上缴上级支出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%；经营支出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%；对附属单位补助支出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年度财政拨款收、支总计</w:t>
      </w:r>
      <w:r>
        <w:rPr>
          <w:rFonts w:hint="eastAsia" w:ascii="仿宋_GB2312" w:hAnsi="仿宋_GB2312" w:eastAsia="仿宋_GB2312" w:cs="仿宋_GB2312"/>
          <w:color w:val="auto"/>
          <w:sz w:val="32"/>
          <w:szCs w:val="32"/>
          <w:lang w:val="en-US" w:eastAsia="zh-CN"/>
        </w:rPr>
        <w:t>1103.82</w:t>
      </w:r>
      <w:r>
        <w:rPr>
          <w:rFonts w:hint="eastAsia" w:ascii="仿宋_GB2312" w:hAnsi="仿宋_GB2312" w:eastAsia="仿宋_GB2312" w:cs="仿宋_GB2312"/>
          <w:color w:val="auto"/>
          <w:sz w:val="32"/>
          <w:szCs w:val="32"/>
        </w:rPr>
        <w:t>万元，与上年相比，增加</w:t>
      </w:r>
      <w:r>
        <w:rPr>
          <w:rFonts w:hint="eastAsia" w:ascii="仿宋_GB2312" w:hAnsi="仿宋_GB2312" w:eastAsia="仿宋_GB2312" w:cs="仿宋_GB2312"/>
          <w:color w:val="auto"/>
          <w:sz w:val="32"/>
          <w:szCs w:val="32"/>
          <w:lang w:val="en-US" w:eastAsia="zh-CN"/>
        </w:rPr>
        <w:t>364.58</w:t>
      </w:r>
      <w:r>
        <w:rPr>
          <w:rFonts w:hint="eastAsia" w:ascii="仿宋_GB2312" w:hAnsi="仿宋_GB2312" w:eastAsia="仿宋_GB2312" w:cs="仿宋_GB2312"/>
          <w:color w:val="auto"/>
          <w:sz w:val="32"/>
          <w:szCs w:val="32"/>
        </w:rPr>
        <w:t>万元，增长</w:t>
      </w:r>
      <w:r>
        <w:rPr>
          <w:rFonts w:hint="eastAsia" w:ascii="仿宋_GB2312" w:hAnsi="仿宋_GB2312" w:eastAsia="仿宋_GB2312" w:cs="仿宋_GB2312"/>
          <w:color w:val="auto"/>
          <w:sz w:val="32"/>
          <w:szCs w:val="32"/>
          <w:lang w:val="en-US" w:eastAsia="zh-CN"/>
        </w:rPr>
        <w:t>49.32</w:t>
      </w:r>
      <w:r>
        <w:rPr>
          <w:rFonts w:hint="eastAsia" w:ascii="仿宋_GB2312" w:hAnsi="仿宋_GB2312" w:eastAsia="仿宋_GB2312" w:cs="仿宋_GB2312"/>
          <w:color w:val="auto"/>
          <w:sz w:val="32"/>
          <w:szCs w:val="32"/>
        </w:rPr>
        <w:t>%，主要是因为</w:t>
      </w:r>
      <w:r>
        <w:rPr>
          <w:rFonts w:hint="eastAsia" w:ascii="仿宋_GB2312" w:hAnsi="仿宋_GB2312" w:eastAsia="仿宋_GB2312" w:cs="仿宋_GB2312"/>
          <w:color w:val="auto"/>
          <w:sz w:val="32"/>
          <w:szCs w:val="32"/>
          <w:lang w:eastAsia="zh-CN"/>
        </w:rPr>
        <w:t>增加湖南省第十届民族运动会收支工作专项经费</w:t>
      </w:r>
      <w:r>
        <w:rPr>
          <w:rFonts w:hint="eastAsia" w:ascii="仿宋_GB2312" w:hAnsi="仿宋_GB2312" w:eastAsia="仿宋_GB2312" w:cs="仿宋_GB2312"/>
          <w:color w:val="auto"/>
          <w:sz w:val="32"/>
          <w:szCs w:val="32"/>
          <w:lang w:val="en-US" w:eastAsia="zh-CN"/>
        </w:rPr>
        <w:t>100万元，怀化市第六届民族运动会收支工作专项经费216.09万元，创建“全国民族团结进步示范市”工作专项经费收支19.77万元，省级民族工作专项资金收支27万元。</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（一）财政拨款支出决算总体情况</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年度财政拨款支出</w:t>
      </w:r>
      <w:r>
        <w:rPr>
          <w:rFonts w:hint="eastAsia" w:ascii="仿宋_GB2312" w:hAnsi="仿宋_GB2312" w:eastAsia="仿宋_GB2312" w:cs="仿宋_GB2312"/>
          <w:color w:val="auto"/>
          <w:sz w:val="32"/>
          <w:szCs w:val="32"/>
          <w:lang w:val="en-US" w:eastAsia="zh-CN"/>
        </w:rPr>
        <w:t>1103.82</w:t>
      </w:r>
      <w:r>
        <w:rPr>
          <w:rFonts w:hint="eastAsia" w:ascii="仿宋_GB2312" w:hAnsi="仿宋_GB2312" w:eastAsia="仿宋_GB2312" w:cs="仿宋_GB2312"/>
          <w:color w:val="auto"/>
          <w:sz w:val="32"/>
          <w:szCs w:val="32"/>
        </w:rPr>
        <w:t>万元，占本年支出合计的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%，与上年相比，财政拨款支出增加</w:t>
      </w:r>
      <w:r>
        <w:rPr>
          <w:rFonts w:hint="eastAsia" w:ascii="仿宋_GB2312" w:hAnsi="仿宋_GB2312" w:eastAsia="仿宋_GB2312" w:cs="仿宋_GB2312"/>
          <w:color w:val="auto"/>
          <w:sz w:val="32"/>
          <w:szCs w:val="32"/>
          <w:lang w:val="en-US" w:eastAsia="zh-CN"/>
        </w:rPr>
        <w:t>362.8</w:t>
      </w:r>
      <w:r>
        <w:rPr>
          <w:rFonts w:hint="eastAsia" w:ascii="仿宋_GB2312" w:hAnsi="仿宋_GB2312" w:eastAsia="仿宋_GB2312" w:cs="仿宋_GB2312"/>
          <w:color w:val="auto"/>
          <w:sz w:val="32"/>
          <w:szCs w:val="32"/>
        </w:rPr>
        <w:t>万元，增长</w:t>
      </w:r>
      <w:r>
        <w:rPr>
          <w:rFonts w:hint="eastAsia" w:ascii="仿宋_GB2312" w:hAnsi="仿宋_GB2312" w:eastAsia="仿宋_GB2312" w:cs="仿宋_GB2312"/>
          <w:color w:val="auto"/>
          <w:sz w:val="32"/>
          <w:szCs w:val="32"/>
          <w:lang w:val="en-US" w:eastAsia="zh-CN"/>
        </w:rPr>
        <w:t>48.96</w:t>
      </w:r>
      <w:r>
        <w:rPr>
          <w:rFonts w:hint="eastAsia" w:ascii="仿宋_GB2312" w:hAnsi="仿宋_GB2312" w:eastAsia="仿宋_GB2312" w:cs="仿宋_GB2312"/>
          <w:color w:val="auto"/>
          <w:sz w:val="32"/>
          <w:szCs w:val="32"/>
        </w:rPr>
        <w:t>%，主要是因</w:t>
      </w:r>
      <w:r>
        <w:rPr>
          <w:rFonts w:hint="eastAsia" w:ascii="仿宋_GB2312" w:hAnsi="仿宋_GB2312" w:eastAsia="仿宋_GB2312" w:cs="仿宋_GB2312"/>
          <w:color w:val="auto"/>
          <w:sz w:val="32"/>
          <w:szCs w:val="32"/>
          <w:lang w:eastAsia="zh-CN"/>
        </w:rPr>
        <w:t>为增加湖南省第十届民族运动会工作专项经费支出</w:t>
      </w:r>
      <w:r>
        <w:rPr>
          <w:rFonts w:hint="eastAsia" w:ascii="仿宋_GB2312" w:hAnsi="仿宋_GB2312" w:eastAsia="仿宋_GB2312" w:cs="仿宋_GB2312"/>
          <w:color w:val="auto"/>
          <w:sz w:val="32"/>
          <w:szCs w:val="32"/>
          <w:lang w:val="en-US" w:eastAsia="zh-CN"/>
        </w:rPr>
        <w:t>100万元，怀化市第六届民族运动会工作专项经费支出216.09万元，创建“全国民族团结进步示范市”工作专项经费支出19.77万元，省级民族工作专项资金支出27万元。</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（二）财政拨款支出决算结构情况</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年度财政拨款支出</w:t>
      </w:r>
      <w:r>
        <w:rPr>
          <w:rFonts w:hint="eastAsia" w:ascii="仿宋_GB2312" w:hAnsi="仿宋_GB2312" w:eastAsia="仿宋_GB2312" w:cs="仿宋_GB2312"/>
          <w:color w:val="auto"/>
          <w:sz w:val="32"/>
          <w:szCs w:val="32"/>
          <w:lang w:val="en-US" w:eastAsia="zh-CN"/>
        </w:rPr>
        <w:t>1103.82</w:t>
      </w:r>
      <w:r>
        <w:rPr>
          <w:rFonts w:hint="eastAsia" w:ascii="仿宋_GB2312" w:hAnsi="仿宋_GB2312" w:eastAsia="仿宋_GB2312" w:cs="仿宋_GB2312"/>
          <w:color w:val="auto"/>
          <w:sz w:val="32"/>
          <w:szCs w:val="32"/>
        </w:rPr>
        <w:t>万元，主要用于以下方面：一般公共服务（类）支出</w:t>
      </w:r>
      <w:r>
        <w:rPr>
          <w:rFonts w:hint="eastAsia" w:ascii="仿宋_GB2312" w:hAnsi="仿宋_GB2312" w:eastAsia="仿宋_GB2312" w:cs="仿宋_GB2312"/>
          <w:color w:val="auto"/>
          <w:sz w:val="32"/>
          <w:szCs w:val="32"/>
          <w:lang w:val="en-US" w:eastAsia="zh-CN"/>
        </w:rPr>
        <w:t>1029.26</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93.25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社会保障和就业</w:t>
      </w:r>
      <w:r>
        <w:rPr>
          <w:rFonts w:hint="eastAsia" w:ascii="仿宋_GB2312" w:hAnsi="仿宋_GB2312" w:eastAsia="仿宋_GB2312" w:cs="仿宋_GB2312"/>
          <w:color w:val="auto"/>
          <w:sz w:val="32"/>
          <w:szCs w:val="32"/>
        </w:rPr>
        <w:t>（类）支出</w:t>
      </w:r>
      <w:r>
        <w:rPr>
          <w:rFonts w:hint="eastAsia" w:ascii="仿宋_GB2312" w:hAnsi="仿宋_GB2312" w:eastAsia="仿宋_GB2312" w:cs="仿宋_GB2312"/>
          <w:color w:val="auto"/>
          <w:sz w:val="32"/>
          <w:szCs w:val="32"/>
          <w:lang w:val="en-US" w:eastAsia="zh-CN"/>
        </w:rPr>
        <w:t>57.2</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5.18</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卫生健康（类）支出</w:t>
      </w:r>
      <w:r>
        <w:rPr>
          <w:rFonts w:hint="eastAsia" w:ascii="仿宋_GB2312" w:hAnsi="仿宋_GB2312" w:eastAsia="仿宋_GB2312" w:cs="仿宋_GB2312"/>
          <w:color w:val="auto"/>
          <w:sz w:val="32"/>
          <w:szCs w:val="32"/>
          <w:lang w:val="en-US" w:eastAsia="zh-CN"/>
        </w:rPr>
        <w:t>17.37，占1.57%。</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（三）财政拨款支出决算具体情况</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年度财政拨款支出年初预算数为</w:t>
      </w:r>
      <w:r>
        <w:rPr>
          <w:rFonts w:hint="eastAsia" w:ascii="仿宋_GB2312" w:hAnsi="仿宋_GB2312" w:eastAsia="仿宋_GB2312" w:cs="仿宋_GB2312"/>
          <w:color w:val="auto"/>
          <w:sz w:val="32"/>
          <w:szCs w:val="32"/>
          <w:lang w:val="en-US" w:eastAsia="zh-CN"/>
        </w:rPr>
        <w:t>641.57</w:t>
      </w:r>
      <w:r>
        <w:rPr>
          <w:rFonts w:hint="eastAsia" w:ascii="仿宋_GB2312" w:hAnsi="仿宋_GB2312" w:eastAsia="仿宋_GB2312" w:cs="仿宋_GB2312"/>
          <w:color w:val="auto"/>
          <w:sz w:val="32"/>
          <w:szCs w:val="32"/>
        </w:rPr>
        <w:t>万元，支出决算数为</w:t>
      </w:r>
      <w:r>
        <w:rPr>
          <w:rFonts w:hint="eastAsia" w:ascii="仿宋_GB2312" w:hAnsi="仿宋_GB2312" w:eastAsia="仿宋_GB2312" w:cs="仿宋_GB2312"/>
          <w:color w:val="auto"/>
          <w:sz w:val="32"/>
          <w:szCs w:val="32"/>
          <w:lang w:val="en-US" w:eastAsia="zh-CN"/>
        </w:rPr>
        <w:t>1103.82</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172.05</w:t>
      </w:r>
      <w:r>
        <w:rPr>
          <w:rFonts w:hint="eastAsia" w:ascii="仿宋_GB2312" w:hAnsi="仿宋_GB2312" w:eastAsia="仿宋_GB2312" w:cs="仿宋_GB2312"/>
          <w:color w:val="auto"/>
          <w:sz w:val="32"/>
          <w:szCs w:val="32"/>
        </w:rPr>
        <w:t>%，其中：</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1、一般公共服务（类）</w:t>
      </w:r>
      <w:r>
        <w:rPr>
          <w:rFonts w:hint="eastAsia" w:ascii="仿宋_GB2312" w:hAnsi="仿宋_GB2312" w:eastAsia="仿宋_GB2312" w:cs="仿宋_GB2312"/>
          <w:color w:val="auto"/>
          <w:sz w:val="32"/>
          <w:szCs w:val="32"/>
          <w:lang w:val="en-US" w:eastAsia="zh-CN"/>
        </w:rPr>
        <w:t>201</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民族事务</w:t>
      </w:r>
      <w:r>
        <w:rPr>
          <w:rFonts w:hint="eastAsia" w:ascii="仿宋_GB2312" w:hAnsi="仿宋_GB2312" w:eastAsia="仿宋_GB2312" w:cs="仿宋_GB2312"/>
          <w:color w:val="auto"/>
          <w:sz w:val="32"/>
          <w:szCs w:val="32"/>
          <w:lang w:val="en-US" w:eastAsia="zh-CN"/>
        </w:rPr>
        <w:t>20123</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eastAsia="zh-CN"/>
        </w:rPr>
        <w:t>行政运行</w:t>
      </w:r>
      <w:r>
        <w:rPr>
          <w:rFonts w:hint="eastAsia" w:ascii="仿宋_GB2312" w:hAnsi="仿宋_GB2312" w:eastAsia="仿宋_GB2312" w:cs="仿宋_GB2312"/>
          <w:color w:val="auto"/>
          <w:sz w:val="32"/>
          <w:szCs w:val="32"/>
          <w:lang w:val="en-US" w:eastAsia="zh-CN"/>
        </w:rPr>
        <w:t>2012301</w:t>
      </w:r>
      <w:r>
        <w:rPr>
          <w:rFonts w:hint="eastAsia" w:ascii="仿宋_GB2312" w:hAnsi="仿宋_GB2312" w:eastAsia="仿宋_GB2312" w:cs="仿宋_GB2312"/>
          <w:color w:val="auto"/>
          <w:sz w:val="32"/>
          <w:szCs w:val="32"/>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381.9</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427.23</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112.84</w:t>
      </w:r>
      <w:r>
        <w:rPr>
          <w:rFonts w:hint="eastAsia" w:ascii="仿宋_GB2312" w:hAnsi="仿宋_GB2312" w:eastAsia="仿宋_GB2312" w:cs="仿宋_GB2312"/>
          <w:color w:val="auto"/>
          <w:sz w:val="32"/>
          <w:szCs w:val="32"/>
        </w:rPr>
        <w:t>%，决算数大于（小于）年初预算数的主要原因是</w:t>
      </w:r>
      <w:r>
        <w:rPr>
          <w:rFonts w:hint="eastAsia" w:ascii="仿宋_GB2312" w:hAnsi="仿宋_GB2312" w:eastAsia="仿宋_GB2312" w:cs="仿宋_GB2312"/>
          <w:color w:val="auto"/>
          <w:sz w:val="32"/>
          <w:szCs w:val="32"/>
          <w:lang w:eastAsia="zh-CN"/>
        </w:rPr>
        <w:t>：本年度</w:t>
      </w:r>
      <w:r>
        <w:rPr>
          <w:rFonts w:hint="eastAsia" w:ascii="仿宋_GB2312" w:hAnsi="仿宋_GB2312" w:eastAsia="仿宋_GB2312" w:cs="仿宋_GB2312"/>
          <w:color w:val="auto"/>
          <w:sz w:val="32"/>
          <w:szCs w:val="32"/>
          <w:lang w:val="en-US" w:eastAsia="zh-CN"/>
        </w:rPr>
        <w:t>度职工工资就，奖金支出大于年度预算数105.62万元。</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2、一般公共服务（类）</w:t>
      </w:r>
      <w:r>
        <w:rPr>
          <w:rFonts w:hint="eastAsia" w:ascii="仿宋_GB2312" w:hAnsi="仿宋_GB2312" w:eastAsia="仿宋_GB2312" w:cs="仿宋_GB2312"/>
          <w:color w:val="auto"/>
          <w:sz w:val="32"/>
          <w:szCs w:val="32"/>
          <w:lang w:val="en-US" w:eastAsia="zh-CN"/>
        </w:rPr>
        <w:t>201</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民族事务</w:t>
      </w:r>
      <w:r>
        <w:rPr>
          <w:rFonts w:hint="eastAsia" w:ascii="仿宋_GB2312" w:hAnsi="仿宋_GB2312" w:eastAsia="仿宋_GB2312" w:cs="仿宋_GB2312"/>
          <w:color w:val="auto"/>
          <w:sz w:val="32"/>
          <w:szCs w:val="32"/>
          <w:lang w:val="en-US" w:eastAsia="zh-CN"/>
        </w:rPr>
        <w:t>20123</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eastAsia="zh-CN"/>
        </w:rPr>
        <w:t>一般行政管理事务</w:t>
      </w:r>
      <w:r>
        <w:rPr>
          <w:rFonts w:hint="eastAsia" w:ascii="仿宋_GB2312" w:hAnsi="仿宋_GB2312" w:eastAsia="仿宋_GB2312" w:cs="仿宋_GB2312"/>
          <w:color w:val="auto"/>
          <w:sz w:val="32"/>
          <w:szCs w:val="32"/>
          <w:lang w:val="en-US" w:eastAsia="zh-CN"/>
        </w:rPr>
        <w:t>2012302</w:t>
      </w:r>
      <w:r>
        <w:rPr>
          <w:rFonts w:hint="eastAsia" w:ascii="仿宋_GB2312" w:hAnsi="仿宋_GB2312" w:eastAsia="仿宋_GB2312" w:cs="仿宋_GB2312"/>
          <w:color w:val="auto"/>
          <w:sz w:val="32"/>
          <w:szCs w:val="32"/>
        </w:rPr>
        <w:t>。</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60</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58.39</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97.32</w:t>
      </w:r>
      <w:r>
        <w:rPr>
          <w:rFonts w:hint="eastAsia" w:ascii="仿宋_GB2312" w:hAnsi="仿宋_GB2312" w:eastAsia="仿宋_GB2312" w:cs="仿宋_GB2312"/>
          <w:color w:val="auto"/>
          <w:sz w:val="32"/>
          <w:szCs w:val="32"/>
        </w:rPr>
        <w:t>%，决算数小于年初预算数的主要原因是：</w:t>
      </w:r>
      <w:r>
        <w:rPr>
          <w:rFonts w:hint="eastAsia" w:ascii="仿宋_GB2312" w:hAnsi="仿宋_GB2312" w:eastAsia="仿宋_GB2312" w:cs="仿宋_GB2312"/>
          <w:color w:val="auto"/>
          <w:sz w:val="32"/>
          <w:szCs w:val="32"/>
          <w:lang w:eastAsia="zh-CN"/>
        </w:rPr>
        <w:t>厉行节约，严格控制开支。</w:t>
      </w:r>
    </w:p>
    <w:p>
      <w:pPr>
        <w:pStyle w:val="9"/>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一般公共服务（类）</w:t>
      </w:r>
      <w:r>
        <w:rPr>
          <w:rFonts w:hint="eastAsia" w:ascii="仿宋_GB2312" w:hAnsi="仿宋_GB2312" w:eastAsia="仿宋_GB2312" w:cs="仿宋_GB2312"/>
          <w:color w:val="auto"/>
          <w:sz w:val="32"/>
          <w:szCs w:val="32"/>
          <w:lang w:val="en-US" w:eastAsia="zh-CN"/>
        </w:rPr>
        <w:t>201</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民族事务</w:t>
      </w:r>
      <w:r>
        <w:rPr>
          <w:rFonts w:hint="eastAsia" w:ascii="仿宋_GB2312" w:hAnsi="仿宋_GB2312" w:eastAsia="仿宋_GB2312" w:cs="仿宋_GB2312"/>
          <w:color w:val="auto"/>
          <w:sz w:val="32"/>
          <w:szCs w:val="32"/>
          <w:lang w:val="en-US" w:eastAsia="zh-CN"/>
        </w:rPr>
        <w:t>20123</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eastAsia="zh-CN"/>
        </w:rPr>
        <w:t>民族工作专项</w:t>
      </w:r>
      <w:r>
        <w:rPr>
          <w:rFonts w:hint="eastAsia" w:ascii="仿宋_GB2312" w:hAnsi="仿宋_GB2312" w:eastAsia="仿宋_GB2312" w:cs="仿宋_GB2312"/>
          <w:color w:val="auto"/>
          <w:sz w:val="32"/>
          <w:szCs w:val="32"/>
          <w:lang w:val="en-US" w:eastAsia="zh-CN"/>
        </w:rPr>
        <w:t>2012304。</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年初预算为</w:t>
      </w:r>
      <w:r>
        <w:rPr>
          <w:rFonts w:hint="eastAsia" w:ascii="仿宋_GB2312" w:hAnsi="仿宋_GB2312" w:eastAsia="仿宋_GB2312" w:cs="仿宋_GB2312"/>
          <w:color w:val="auto"/>
          <w:sz w:val="32"/>
          <w:szCs w:val="32"/>
          <w:lang w:val="en-US" w:eastAsia="zh-CN"/>
        </w:rPr>
        <w:t>114</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141</w:t>
      </w:r>
      <w:r>
        <w:rPr>
          <w:rFonts w:hint="eastAsia" w:ascii="仿宋_GB2312" w:hAnsi="仿宋_GB2312" w:eastAsia="仿宋_GB2312" w:cs="仿宋_GB2312"/>
          <w:color w:val="auto"/>
          <w:sz w:val="32"/>
          <w:szCs w:val="32"/>
        </w:rPr>
        <w:t>万元，完成年初预算的</w:t>
      </w:r>
      <w:r>
        <w:rPr>
          <w:rFonts w:hint="eastAsia" w:ascii="仿宋_GB2312" w:hAnsi="仿宋_GB2312" w:eastAsia="仿宋_GB2312" w:cs="仿宋_GB2312"/>
          <w:color w:val="auto"/>
          <w:sz w:val="32"/>
          <w:szCs w:val="32"/>
          <w:lang w:val="en-US" w:eastAsia="zh-CN"/>
        </w:rPr>
        <w:t>123.68</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大于</w:t>
      </w:r>
      <w:r>
        <w:rPr>
          <w:rFonts w:hint="eastAsia" w:ascii="仿宋_GB2312" w:hAnsi="仿宋_GB2312" w:eastAsia="仿宋_GB2312" w:cs="仿宋_GB2312"/>
          <w:color w:val="auto"/>
          <w:sz w:val="32"/>
          <w:szCs w:val="32"/>
        </w:rPr>
        <w:t>年初预算数的主要原因是：</w:t>
      </w:r>
      <w:r>
        <w:rPr>
          <w:rFonts w:hint="eastAsia" w:ascii="仿宋_GB2312" w:hAnsi="仿宋_GB2312" w:eastAsia="仿宋_GB2312" w:cs="仿宋_GB2312"/>
          <w:color w:val="auto"/>
          <w:sz w:val="32"/>
          <w:szCs w:val="32"/>
          <w:lang w:eastAsia="zh-CN"/>
        </w:rPr>
        <w:t>本年度省民宗委下拨</w:t>
      </w:r>
      <w:r>
        <w:rPr>
          <w:rFonts w:hint="eastAsia" w:ascii="仿宋_GB2312" w:hAnsi="仿宋_GB2312" w:eastAsia="仿宋_GB2312" w:cs="仿宋_GB2312"/>
          <w:color w:val="auto"/>
          <w:sz w:val="32"/>
          <w:szCs w:val="32"/>
          <w:lang w:val="en-US" w:eastAsia="zh-CN"/>
        </w:rPr>
        <w:t>27万元民族工作专项补助资金没有纳入年初预算</w:t>
      </w:r>
      <w:r>
        <w:rPr>
          <w:rFonts w:hint="eastAsia" w:ascii="仿宋_GB2312" w:hAnsi="仿宋_GB2312" w:eastAsia="仿宋_GB2312" w:cs="仿宋_GB2312"/>
          <w:color w:val="auto"/>
          <w:sz w:val="32"/>
          <w:szCs w:val="32"/>
          <w:lang w:eastAsia="zh-CN"/>
        </w:rPr>
        <w:t>。</w:t>
      </w:r>
    </w:p>
    <w:p>
      <w:pPr>
        <w:pStyle w:val="9"/>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一般公共服务（类）</w:t>
      </w:r>
      <w:r>
        <w:rPr>
          <w:rFonts w:hint="eastAsia" w:ascii="仿宋_GB2312" w:hAnsi="仿宋_GB2312" w:eastAsia="仿宋_GB2312" w:cs="仿宋_GB2312"/>
          <w:color w:val="auto"/>
          <w:sz w:val="32"/>
          <w:szCs w:val="32"/>
          <w:lang w:val="en-US" w:eastAsia="zh-CN"/>
        </w:rPr>
        <w:t>201</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民族事务</w:t>
      </w:r>
      <w:r>
        <w:rPr>
          <w:rFonts w:hint="eastAsia" w:ascii="仿宋_GB2312" w:hAnsi="仿宋_GB2312" w:eastAsia="仿宋_GB2312" w:cs="仿宋_GB2312"/>
          <w:color w:val="auto"/>
          <w:sz w:val="32"/>
          <w:szCs w:val="32"/>
          <w:lang w:val="en-US" w:eastAsia="zh-CN"/>
        </w:rPr>
        <w:t>20123</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eastAsia="zh-CN"/>
        </w:rPr>
        <w:t>其他民族事务支出</w:t>
      </w:r>
      <w:r>
        <w:rPr>
          <w:rFonts w:hint="eastAsia" w:ascii="仿宋_GB2312" w:hAnsi="仿宋_GB2312" w:eastAsia="仿宋_GB2312" w:cs="仿宋_GB2312"/>
          <w:color w:val="auto"/>
          <w:sz w:val="32"/>
          <w:szCs w:val="32"/>
          <w:lang w:val="en-US" w:eastAsia="zh-CN"/>
        </w:rPr>
        <w:t>2012399</w:t>
      </w:r>
    </w:p>
    <w:p>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年初预算数为0.83万元，支出决算数为399.64万元，完成年初预算数的481.5%，</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大于</w:t>
      </w:r>
      <w:r>
        <w:rPr>
          <w:rFonts w:hint="eastAsia" w:ascii="仿宋_GB2312" w:hAnsi="仿宋_GB2312" w:eastAsia="仿宋_GB2312" w:cs="仿宋_GB2312"/>
          <w:color w:val="auto"/>
          <w:sz w:val="32"/>
          <w:szCs w:val="32"/>
        </w:rPr>
        <w:t>年初预算数的主要原因是：</w:t>
      </w:r>
      <w:r>
        <w:rPr>
          <w:rFonts w:hint="eastAsia" w:ascii="仿宋_GB2312" w:hAnsi="仿宋_GB2312" w:eastAsia="仿宋_GB2312" w:cs="仿宋_GB2312"/>
          <w:color w:val="auto"/>
          <w:sz w:val="32"/>
          <w:szCs w:val="32"/>
          <w:lang w:eastAsia="zh-CN"/>
        </w:rPr>
        <w:t>年度中追加了几项预算支出，</w:t>
      </w:r>
      <w:r>
        <w:rPr>
          <w:rFonts w:hint="eastAsia" w:ascii="仿宋_GB2312" w:hAnsi="仿宋_GB2312" w:eastAsia="仿宋_GB2312" w:cs="仿宋_GB2312"/>
          <w:color w:val="auto"/>
          <w:sz w:val="32"/>
          <w:szCs w:val="32"/>
        </w:rPr>
        <w:t>主要是因为</w:t>
      </w:r>
      <w:r>
        <w:rPr>
          <w:rFonts w:hint="eastAsia" w:ascii="仿宋_GB2312" w:hAnsi="仿宋_GB2312" w:eastAsia="仿宋_GB2312" w:cs="仿宋_GB2312"/>
          <w:color w:val="auto"/>
          <w:sz w:val="32"/>
          <w:szCs w:val="32"/>
          <w:lang w:eastAsia="zh-CN"/>
        </w:rPr>
        <w:t>增加湖南省第十届民族运动会工作专项经费收支</w:t>
      </w:r>
      <w:r>
        <w:rPr>
          <w:rFonts w:hint="eastAsia" w:ascii="仿宋_GB2312" w:hAnsi="仿宋_GB2312" w:eastAsia="仿宋_GB2312" w:cs="仿宋_GB2312"/>
          <w:color w:val="auto"/>
          <w:sz w:val="32"/>
          <w:szCs w:val="32"/>
          <w:lang w:val="en-US" w:eastAsia="zh-CN"/>
        </w:rPr>
        <w:t>100万元，怀化市第六届民族运动会工作专项经费收支216.09万元，创建“全国民族团结进步示范市”工作专项经分收支19.77万元，奖金62.95万元，</w:t>
      </w:r>
      <w:r>
        <w:rPr>
          <w:rFonts w:hint="eastAsia" w:ascii="仿宋_GB2312" w:hAnsi="仿宋_GB2312" w:eastAsia="仿宋_GB2312" w:cs="仿宋_GB2312"/>
          <w:color w:val="auto"/>
          <w:sz w:val="32"/>
          <w:szCs w:val="32"/>
          <w:lang w:eastAsia="zh-CN"/>
        </w:rPr>
        <w:t>年初没有纳入预算。</w:t>
      </w:r>
    </w:p>
    <w:p>
      <w:pPr>
        <w:pStyle w:val="9"/>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一般公共服务（类）</w:t>
      </w:r>
      <w:r>
        <w:rPr>
          <w:rFonts w:hint="eastAsia" w:ascii="仿宋_GB2312" w:hAnsi="仿宋_GB2312" w:eastAsia="仿宋_GB2312" w:cs="仿宋_GB2312"/>
          <w:color w:val="auto"/>
          <w:sz w:val="32"/>
          <w:szCs w:val="32"/>
          <w:lang w:val="en-US" w:eastAsia="zh-CN"/>
        </w:rPr>
        <w:t>201</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统战事务</w:t>
      </w:r>
      <w:r>
        <w:rPr>
          <w:rFonts w:hint="eastAsia" w:ascii="仿宋_GB2312" w:hAnsi="仿宋_GB2312" w:eastAsia="仿宋_GB2312" w:cs="仿宋_GB2312"/>
          <w:color w:val="auto"/>
          <w:sz w:val="32"/>
          <w:szCs w:val="32"/>
          <w:lang w:val="en-US" w:eastAsia="zh-CN"/>
        </w:rPr>
        <w:t>20134</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eastAsia="zh-CN"/>
        </w:rPr>
        <w:t>宗教事务</w:t>
      </w:r>
      <w:r>
        <w:rPr>
          <w:rFonts w:hint="eastAsia" w:ascii="仿宋_GB2312" w:hAnsi="仿宋_GB2312" w:eastAsia="仿宋_GB2312" w:cs="仿宋_GB2312"/>
          <w:color w:val="auto"/>
          <w:sz w:val="32"/>
          <w:szCs w:val="32"/>
          <w:lang w:val="en-US" w:eastAsia="zh-CN"/>
        </w:rPr>
        <w:t>2013404</w:t>
      </w:r>
    </w:p>
    <w:p>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年初预算数为0万元，支出决算数为2.32万元，完成年初预算数的0%，</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大于</w:t>
      </w:r>
      <w:r>
        <w:rPr>
          <w:rFonts w:hint="eastAsia" w:ascii="仿宋_GB2312" w:hAnsi="仿宋_GB2312" w:eastAsia="仿宋_GB2312" w:cs="仿宋_GB2312"/>
          <w:color w:val="auto"/>
          <w:sz w:val="32"/>
          <w:szCs w:val="32"/>
        </w:rPr>
        <w:t>年初预算数的主要原因是</w:t>
      </w:r>
      <w:r>
        <w:rPr>
          <w:rFonts w:hint="eastAsia" w:ascii="仿宋_GB2312" w:hAnsi="仿宋_GB2312" w:eastAsia="仿宋_GB2312" w:cs="仿宋_GB2312"/>
          <w:color w:val="auto"/>
          <w:sz w:val="32"/>
          <w:szCs w:val="32"/>
          <w:lang w:eastAsia="zh-CN"/>
        </w:rPr>
        <w:t>：宗教人士困难生活补助是由省里下拨至本单位，是年中追加的预算，没有纳入年初预算。</w:t>
      </w:r>
    </w:p>
    <w:p>
      <w:pPr>
        <w:pStyle w:val="9"/>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一般公共服务（类）</w:t>
      </w:r>
      <w:r>
        <w:rPr>
          <w:rFonts w:hint="eastAsia" w:ascii="仿宋_GB2312" w:hAnsi="仿宋_GB2312" w:eastAsia="仿宋_GB2312" w:cs="仿宋_GB2312"/>
          <w:color w:val="auto"/>
          <w:sz w:val="32"/>
          <w:szCs w:val="32"/>
          <w:lang w:val="en-US" w:eastAsia="zh-CN"/>
        </w:rPr>
        <w:t>201</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其他一般公共服务支出</w:t>
      </w:r>
      <w:r>
        <w:rPr>
          <w:rFonts w:hint="eastAsia" w:ascii="仿宋_GB2312" w:hAnsi="仿宋_GB2312" w:eastAsia="仿宋_GB2312" w:cs="仿宋_GB2312"/>
          <w:color w:val="auto"/>
          <w:sz w:val="32"/>
          <w:szCs w:val="32"/>
          <w:lang w:val="en-US" w:eastAsia="zh-CN"/>
        </w:rPr>
        <w:t>20199</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eastAsia="zh-CN"/>
        </w:rPr>
        <w:t>其他一般公共服务支出</w:t>
      </w:r>
      <w:r>
        <w:rPr>
          <w:rFonts w:hint="eastAsia" w:ascii="仿宋_GB2312" w:hAnsi="仿宋_GB2312" w:eastAsia="仿宋_GB2312" w:cs="仿宋_GB2312"/>
          <w:color w:val="auto"/>
          <w:sz w:val="32"/>
          <w:szCs w:val="32"/>
          <w:lang w:val="en-US" w:eastAsia="zh-CN"/>
        </w:rPr>
        <w:t>2019999</w:t>
      </w:r>
    </w:p>
    <w:p>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年初预算数为0万元，支出决算数为0.68万元，完成年初预算数的0%，</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大于</w:t>
      </w:r>
      <w:r>
        <w:rPr>
          <w:rFonts w:hint="eastAsia" w:ascii="仿宋_GB2312" w:hAnsi="仿宋_GB2312" w:eastAsia="仿宋_GB2312" w:cs="仿宋_GB2312"/>
          <w:color w:val="auto"/>
          <w:sz w:val="32"/>
          <w:szCs w:val="32"/>
        </w:rPr>
        <w:t>年初预算数的主要原因是</w:t>
      </w:r>
      <w:r>
        <w:rPr>
          <w:rFonts w:hint="eastAsia" w:ascii="仿宋_GB2312" w:hAnsi="仿宋_GB2312" w:eastAsia="仿宋_GB2312" w:cs="仿宋_GB2312"/>
          <w:color w:val="auto"/>
          <w:sz w:val="32"/>
          <w:szCs w:val="32"/>
          <w:lang w:eastAsia="zh-CN"/>
        </w:rPr>
        <w:t>：市级民族工作会议的会议费支出，是年中追加的预算，没有纳入年初预算。</w:t>
      </w:r>
    </w:p>
    <w:p>
      <w:pPr>
        <w:pStyle w:val="9"/>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社会保障和就业</w:t>
      </w:r>
      <w:r>
        <w:rPr>
          <w:rFonts w:hint="eastAsia" w:ascii="仿宋_GB2312" w:hAnsi="仿宋_GB2312" w:eastAsia="仿宋_GB2312" w:cs="仿宋_GB2312"/>
          <w:color w:val="auto"/>
          <w:sz w:val="32"/>
          <w:szCs w:val="32"/>
        </w:rPr>
        <w:t>（类）</w:t>
      </w:r>
      <w:r>
        <w:rPr>
          <w:rFonts w:hint="eastAsia" w:ascii="仿宋_GB2312" w:hAnsi="仿宋_GB2312" w:eastAsia="仿宋_GB2312" w:cs="仿宋_GB2312"/>
          <w:color w:val="auto"/>
          <w:sz w:val="32"/>
          <w:szCs w:val="32"/>
          <w:lang w:val="en-US" w:eastAsia="zh-CN"/>
        </w:rPr>
        <w:t>208</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行政事业单位养老支出</w:t>
      </w:r>
      <w:r>
        <w:rPr>
          <w:rFonts w:hint="eastAsia" w:ascii="仿宋_GB2312" w:hAnsi="仿宋_GB2312" w:eastAsia="仿宋_GB2312" w:cs="仿宋_GB2312"/>
          <w:color w:val="auto"/>
          <w:sz w:val="32"/>
          <w:szCs w:val="32"/>
          <w:lang w:val="en-US" w:eastAsia="zh-CN"/>
        </w:rPr>
        <w:t>20805</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val="en-US" w:eastAsia="zh-CN"/>
        </w:rPr>
        <w:t>行政单位离退休2080501</w:t>
      </w:r>
    </w:p>
    <w:p>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年初预算数为11.93万元，支出决算数为9.99万元，完成年初预算数的83.74%，</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大于</w:t>
      </w:r>
      <w:r>
        <w:rPr>
          <w:rFonts w:hint="eastAsia" w:ascii="仿宋_GB2312" w:hAnsi="仿宋_GB2312" w:eastAsia="仿宋_GB2312" w:cs="仿宋_GB2312"/>
          <w:color w:val="auto"/>
          <w:sz w:val="32"/>
          <w:szCs w:val="32"/>
        </w:rPr>
        <w:t>年初预算数的主要原因是</w:t>
      </w:r>
      <w:r>
        <w:rPr>
          <w:rFonts w:hint="eastAsia" w:ascii="仿宋_GB2312" w:hAnsi="仿宋_GB2312" w:eastAsia="仿宋_GB2312" w:cs="仿宋_GB2312"/>
          <w:color w:val="auto"/>
          <w:sz w:val="32"/>
          <w:szCs w:val="32"/>
          <w:lang w:eastAsia="zh-CN"/>
        </w:rPr>
        <w:t>：本年度职工提前退休，退休工作直接从社保中领取了。</w:t>
      </w:r>
    </w:p>
    <w:p>
      <w:pPr>
        <w:pStyle w:val="9"/>
        <w:keepNext w:val="0"/>
        <w:keepLines w:val="0"/>
        <w:pageBreakBefore w:val="0"/>
        <w:widowControl w:val="0"/>
        <w:numPr>
          <w:ilvl w:val="0"/>
          <w:numId w:val="1"/>
        </w:numPr>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社会保障和就业</w:t>
      </w:r>
      <w:r>
        <w:rPr>
          <w:rFonts w:hint="eastAsia" w:ascii="仿宋_GB2312" w:hAnsi="仿宋_GB2312" w:eastAsia="仿宋_GB2312" w:cs="仿宋_GB2312"/>
          <w:color w:val="auto"/>
          <w:sz w:val="32"/>
          <w:szCs w:val="32"/>
        </w:rPr>
        <w:t>（类）</w:t>
      </w:r>
      <w:r>
        <w:rPr>
          <w:rFonts w:hint="eastAsia" w:ascii="仿宋_GB2312" w:hAnsi="仿宋_GB2312" w:eastAsia="仿宋_GB2312" w:cs="仿宋_GB2312"/>
          <w:color w:val="auto"/>
          <w:sz w:val="32"/>
          <w:szCs w:val="32"/>
          <w:lang w:val="en-US" w:eastAsia="zh-CN"/>
        </w:rPr>
        <w:t>208</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行政事业单位养老支出</w:t>
      </w:r>
      <w:r>
        <w:rPr>
          <w:rFonts w:hint="eastAsia" w:ascii="仿宋_GB2312" w:hAnsi="仿宋_GB2312" w:eastAsia="仿宋_GB2312" w:cs="仿宋_GB2312"/>
          <w:color w:val="auto"/>
          <w:sz w:val="32"/>
          <w:szCs w:val="32"/>
          <w:lang w:val="en-US" w:eastAsia="zh-CN"/>
        </w:rPr>
        <w:t>20805</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eastAsia="zh-CN"/>
        </w:rPr>
        <w:t>机关事业单位基本养老保险缴费支出</w:t>
      </w:r>
      <w:r>
        <w:rPr>
          <w:rFonts w:hint="eastAsia" w:ascii="仿宋_GB2312" w:hAnsi="仿宋_GB2312" w:eastAsia="仿宋_GB2312" w:cs="仿宋_GB2312"/>
          <w:color w:val="auto"/>
          <w:sz w:val="32"/>
          <w:szCs w:val="32"/>
          <w:lang w:val="en-US" w:eastAsia="zh-CN"/>
        </w:rPr>
        <w:t>2080505</w:t>
      </w:r>
    </w:p>
    <w:p>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年初预算数为31.1万元，支出决算数为30.33万元，完成年初预算数的97.52%，</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小于</w:t>
      </w:r>
      <w:r>
        <w:rPr>
          <w:rFonts w:hint="eastAsia" w:ascii="仿宋_GB2312" w:hAnsi="仿宋_GB2312" w:eastAsia="仿宋_GB2312" w:cs="仿宋_GB2312"/>
          <w:color w:val="auto"/>
          <w:sz w:val="32"/>
          <w:szCs w:val="32"/>
        </w:rPr>
        <w:t>年初预算数的主要原因</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是</w:t>
      </w:r>
      <w:r>
        <w:rPr>
          <w:rFonts w:hint="eastAsia" w:ascii="仿宋_GB2312" w:hAnsi="仿宋_GB2312" w:eastAsia="仿宋_GB2312" w:cs="仿宋_GB2312"/>
          <w:color w:val="auto"/>
          <w:sz w:val="32"/>
          <w:szCs w:val="32"/>
          <w:lang w:eastAsia="zh-CN"/>
        </w:rPr>
        <w:t>本年度财政实际下拨用于养老保险支出小于年初预算数。</w:t>
      </w:r>
    </w:p>
    <w:p>
      <w:pPr>
        <w:pStyle w:val="9"/>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eastAsia="zh-CN"/>
        </w:rPr>
        <w:t>社会保障和就业</w:t>
      </w:r>
      <w:r>
        <w:rPr>
          <w:rFonts w:hint="eastAsia" w:ascii="仿宋_GB2312" w:hAnsi="仿宋_GB2312" w:eastAsia="仿宋_GB2312" w:cs="仿宋_GB2312"/>
          <w:color w:val="auto"/>
          <w:sz w:val="32"/>
          <w:szCs w:val="32"/>
        </w:rPr>
        <w:t>（类）</w:t>
      </w:r>
      <w:r>
        <w:rPr>
          <w:rFonts w:hint="eastAsia" w:ascii="仿宋_GB2312" w:hAnsi="仿宋_GB2312" w:eastAsia="仿宋_GB2312" w:cs="仿宋_GB2312"/>
          <w:color w:val="auto"/>
          <w:sz w:val="32"/>
          <w:szCs w:val="32"/>
          <w:lang w:val="en-US" w:eastAsia="zh-CN"/>
        </w:rPr>
        <w:t>208</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行政事业单位养老支出</w:t>
      </w:r>
      <w:r>
        <w:rPr>
          <w:rFonts w:hint="eastAsia" w:ascii="仿宋_GB2312" w:hAnsi="仿宋_GB2312" w:eastAsia="仿宋_GB2312" w:cs="仿宋_GB2312"/>
          <w:color w:val="auto"/>
          <w:sz w:val="32"/>
          <w:szCs w:val="32"/>
          <w:lang w:val="en-US" w:eastAsia="zh-CN"/>
        </w:rPr>
        <w:t>20805</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eastAsia="zh-CN"/>
        </w:rPr>
        <w:t>其他行政事业单位养老支出</w:t>
      </w:r>
      <w:r>
        <w:rPr>
          <w:rFonts w:hint="eastAsia" w:ascii="仿宋_GB2312" w:hAnsi="仿宋_GB2312" w:eastAsia="仿宋_GB2312" w:cs="仿宋_GB2312"/>
          <w:color w:val="auto"/>
          <w:sz w:val="32"/>
          <w:szCs w:val="32"/>
          <w:lang w:val="en-US" w:eastAsia="zh-CN"/>
        </w:rPr>
        <w:t>2080599</w:t>
      </w:r>
    </w:p>
    <w:p>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年初预算数为0万元，支出决算数为16.88万元，完成年初预算数的0%，</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大于</w:t>
      </w:r>
      <w:r>
        <w:rPr>
          <w:rFonts w:hint="eastAsia" w:ascii="仿宋_GB2312" w:hAnsi="仿宋_GB2312" w:eastAsia="仿宋_GB2312" w:cs="仿宋_GB2312"/>
          <w:color w:val="auto"/>
          <w:sz w:val="32"/>
          <w:szCs w:val="32"/>
        </w:rPr>
        <w:t>年初预算数的主要原因是</w:t>
      </w:r>
      <w:r>
        <w:rPr>
          <w:rFonts w:hint="eastAsia" w:ascii="仿宋_GB2312" w:hAnsi="仿宋_GB2312" w:eastAsia="仿宋_GB2312" w:cs="仿宋_GB2312"/>
          <w:color w:val="auto"/>
          <w:sz w:val="32"/>
          <w:szCs w:val="32"/>
          <w:lang w:eastAsia="zh-CN"/>
        </w:rPr>
        <w:t>：年中追加预算退休人员</w:t>
      </w:r>
      <w:r>
        <w:rPr>
          <w:rFonts w:hint="eastAsia" w:ascii="仿宋_GB2312" w:hAnsi="仿宋_GB2312" w:eastAsia="仿宋_GB2312" w:cs="仿宋_GB2312"/>
          <w:color w:val="auto"/>
          <w:sz w:val="32"/>
          <w:szCs w:val="32"/>
          <w:lang w:val="en-US" w:eastAsia="zh-CN"/>
        </w:rPr>
        <w:t>2022年度春节一次性补助。</w:t>
      </w:r>
    </w:p>
    <w:p>
      <w:pPr>
        <w:pStyle w:val="9"/>
        <w:keepNext w:val="0"/>
        <w:keepLines w:val="0"/>
        <w:pageBreakBefore w:val="0"/>
        <w:widowControl w:val="0"/>
        <w:numPr>
          <w:ilvl w:val="0"/>
          <w:numId w:val="1"/>
        </w:numPr>
        <w:kinsoku/>
        <w:wordWrap/>
        <w:overflowPunct/>
        <w:topLinePunct w:val="0"/>
        <w:bidi w:val="0"/>
        <w:snapToGrid/>
        <w:spacing w:line="600" w:lineRule="exact"/>
        <w:ind w:left="0" w:leftChars="0" w:firstLine="800" w:firstLine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卫生健康</w:t>
      </w:r>
      <w:r>
        <w:rPr>
          <w:rFonts w:hint="eastAsia" w:ascii="仿宋_GB2312" w:hAnsi="仿宋_GB2312" w:eastAsia="仿宋_GB2312" w:cs="仿宋_GB2312"/>
          <w:color w:val="auto"/>
          <w:sz w:val="32"/>
          <w:szCs w:val="32"/>
        </w:rPr>
        <w:t>（类）</w:t>
      </w:r>
      <w:r>
        <w:rPr>
          <w:rFonts w:hint="eastAsia" w:ascii="仿宋_GB2312" w:hAnsi="仿宋_GB2312" w:eastAsia="仿宋_GB2312" w:cs="仿宋_GB2312"/>
          <w:color w:val="auto"/>
          <w:sz w:val="32"/>
          <w:szCs w:val="32"/>
          <w:lang w:val="en-US" w:eastAsia="zh-CN"/>
        </w:rPr>
        <w:t>210</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公共卫生</w:t>
      </w:r>
      <w:r>
        <w:rPr>
          <w:rFonts w:hint="eastAsia" w:ascii="仿宋_GB2312" w:hAnsi="仿宋_GB2312" w:eastAsia="仿宋_GB2312" w:cs="仿宋_GB2312"/>
          <w:color w:val="auto"/>
          <w:sz w:val="32"/>
          <w:szCs w:val="32"/>
          <w:lang w:val="en-US" w:eastAsia="zh-CN"/>
        </w:rPr>
        <w:t>21004</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eastAsia="zh-CN"/>
        </w:rPr>
        <w:t>突发公共卫生事件应急处理</w:t>
      </w:r>
      <w:r>
        <w:rPr>
          <w:rFonts w:hint="eastAsia" w:ascii="仿宋_GB2312" w:hAnsi="仿宋_GB2312" w:eastAsia="仿宋_GB2312" w:cs="仿宋_GB2312"/>
          <w:color w:val="auto"/>
          <w:sz w:val="32"/>
          <w:szCs w:val="32"/>
          <w:lang w:val="en-US" w:eastAsia="zh-CN"/>
        </w:rPr>
        <w:t>2100410</w:t>
      </w:r>
    </w:p>
    <w:p>
      <w:pPr>
        <w:pStyle w:val="9"/>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年初预算数为0万元，支出决算数为2.2万元，完成年初预算数的0%，</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大于</w:t>
      </w:r>
      <w:r>
        <w:rPr>
          <w:rFonts w:hint="eastAsia" w:ascii="仿宋_GB2312" w:hAnsi="仿宋_GB2312" w:eastAsia="仿宋_GB2312" w:cs="仿宋_GB2312"/>
          <w:color w:val="auto"/>
          <w:sz w:val="32"/>
          <w:szCs w:val="32"/>
        </w:rPr>
        <w:t>年初预算数的主要原因</w:t>
      </w:r>
      <w:r>
        <w:rPr>
          <w:rFonts w:hint="eastAsia" w:ascii="仿宋_GB2312" w:hAnsi="仿宋_GB2312" w:eastAsia="仿宋_GB2312" w:cs="仿宋_GB2312"/>
          <w:color w:val="auto"/>
          <w:sz w:val="32"/>
          <w:szCs w:val="32"/>
          <w:lang w:eastAsia="zh-CN"/>
        </w:rPr>
        <w:t>：抗疫专项资金</w:t>
      </w:r>
      <w:r>
        <w:rPr>
          <w:rFonts w:hint="eastAsia" w:ascii="仿宋_GB2312" w:hAnsi="仿宋_GB2312" w:eastAsia="仿宋_GB2312" w:cs="仿宋_GB2312"/>
          <w:color w:val="auto"/>
          <w:sz w:val="32"/>
          <w:szCs w:val="32"/>
          <w:lang w:val="en-US" w:eastAsia="zh-CN"/>
        </w:rPr>
        <w:t>2.2万元是年中追加的预算，年初没有预算。</w:t>
      </w:r>
    </w:p>
    <w:p>
      <w:pPr>
        <w:pStyle w:val="9"/>
        <w:keepNext w:val="0"/>
        <w:keepLines w:val="0"/>
        <w:pageBreakBefore w:val="0"/>
        <w:widowControl w:val="0"/>
        <w:numPr>
          <w:ilvl w:val="0"/>
          <w:numId w:val="0"/>
        </w:numPr>
        <w:kinsoku/>
        <w:wordWrap/>
        <w:overflowPunct/>
        <w:topLinePunct w:val="0"/>
        <w:bidi w:val="0"/>
        <w:snapToGrid/>
        <w:spacing w:line="600" w:lineRule="exact"/>
        <w:ind w:leftChars="250" w:firstLine="320" w:firstLineChars="1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10、卫生健康</w:t>
      </w:r>
      <w:r>
        <w:rPr>
          <w:rFonts w:hint="eastAsia" w:ascii="仿宋_GB2312" w:hAnsi="仿宋_GB2312" w:eastAsia="仿宋_GB2312" w:cs="仿宋_GB2312"/>
          <w:color w:val="auto"/>
          <w:sz w:val="32"/>
          <w:szCs w:val="32"/>
        </w:rPr>
        <w:t>（类）</w:t>
      </w:r>
      <w:r>
        <w:rPr>
          <w:rFonts w:hint="eastAsia" w:ascii="仿宋_GB2312" w:hAnsi="仿宋_GB2312" w:eastAsia="仿宋_GB2312" w:cs="仿宋_GB2312"/>
          <w:color w:val="auto"/>
          <w:sz w:val="32"/>
          <w:szCs w:val="32"/>
          <w:lang w:val="en-US" w:eastAsia="zh-CN"/>
        </w:rPr>
        <w:t>210</w:t>
      </w:r>
      <w:r>
        <w:rPr>
          <w:rFonts w:hint="eastAsia" w:ascii="仿宋_GB2312" w:hAnsi="仿宋_GB2312" w:eastAsia="仿宋_GB2312" w:cs="仿宋_GB2312"/>
          <w:color w:val="auto"/>
          <w:sz w:val="32"/>
          <w:szCs w:val="32"/>
        </w:rPr>
        <w:t>（款）</w:t>
      </w:r>
      <w:r>
        <w:rPr>
          <w:rFonts w:hint="eastAsia" w:ascii="仿宋_GB2312" w:hAnsi="仿宋_GB2312" w:eastAsia="仿宋_GB2312" w:cs="仿宋_GB2312"/>
          <w:color w:val="auto"/>
          <w:sz w:val="32"/>
          <w:szCs w:val="32"/>
          <w:lang w:eastAsia="zh-CN"/>
        </w:rPr>
        <w:t>行政事业单位医疗</w:t>
      </w:r>
      <w:r>
        <w:rPr>
          <w:rFonts w:hint="eastAsia" w:ascii="仿宋_GB2312" w:hAnsi="仿宋_GB2312" w:eastAsia="仿宋_GB2312" w:cs="仿宋_GB2312"/>
          <w:color w:val="auto"/>
          <w:sz w:val="32"/>
          <w:szCs w:val="32"/>
          <w:lang w:val="en-US" w:eastAsia="zh-CN"/>
        </w:rPr>
        <w:t>21011</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color w:val="auto"/>
          <w:sz w:val="32"/>
          <w:szCs w:val="32"/>
          <w:lang w:eastAsia="zh-CN"/>
        </w:rPr>
        <w:t>行政单位医疗</w:t>
      </w:r>
      <w:r>
        <w:rPr>
          <w:rFonts w:hint="eastAsia" w:ascii="仿宋_GB2312" w:hAnsi="仿宋_GB2312" w:eastAsia="仿宋_GB2312" w:cs="仿宋_GB2312"/>
          <w:color w:val="auto"/>
          <w:sz w:val="32"/>
          <w:szCs w:val="32"/>
          <w:lang w:val="en-US" w:eastAsia="zh-CN"/>
        </w:rPr>
        <w:t>2101101</w:t>
      </w:r>
    </w:p>
    <w:p>
      <w:pPr>
        <w:pStyle w:val="9"/>
        <w:keepNext w:val="0"/>
        <w:keepLines w:val="0"/>
        <w:pageBreakBefore w:val="0"/>
        <w:widowControl w:val="0"/>
        <w:numPr>
          <w:ilvl w:val="0"/>
          <w:numId w:val="0"/>
        </w:numPr>
        <w:kinsoku/>
        <w:wordWrap/>
        <w:overflowPunct/>
        <w:topLinePunct w:val="0"/>
        <w:bidi w:val="0"/>
        <w:snapToGrid/>
        <w:spacing w:line="600" w:lineRule="exact"/>
        <w:ind w:leftChars="25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年初预算数为16.52万元，支出决算数为15.17万元，完成年初预算数的91.83%，</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大小于</w:t>
      </w:r>
      <w:r>
        <w:rPr>
          <w:rFonts w:hint="eastAsia" w:ascii="仿宋_GB2312" w:hAnsi="仿宋_GB2312" w:eastAsia="仿宋_GB2312" w:cs="仿宋_GB2312"/>
          <w:color w:val="auto"/>
          <w:sz w:val="32"/>
          <w:szCs w:val="32"/>
        </w:rPr>
        <w:t>年初预算数的主要原因</w:t>
      </w:r>
      <w:r>
        <w:rPr>
          <w:rFonts w:hint="eastAsia" w:ascii="仿宋_GB2312" w:hAnsi="仿宋_GB2312" w:eastAsia="仿宋_GB2312" w:cs="仿宋_GB2312"/>
          <w:color w:val="auto"/>
          <w:sz w:val="32"/>
          <w:szCs w:val="32"/>
          <w:lang w:eastAsia="zh-CN"/>
        </w:rPr>
        <w:t>：本年度调出了人员，导致缴纳的职工基本医疗保险减少。</w:t>
      </w:r>
    </w:p>
    <w:p>
      <w:pPr>
        <w:pStyle w:val="9"/>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黑体" w:hAnsi="黑体" w:eastAsia="黑体" w:cs="黑体"/>
          <w:b w:val="0"/>
          <w:bCs/>
          <w:color w:val="auto"/>
          <w:sz w:val="32"/>
          <w:szCs w:val="32"/>
        </w:rPr>
      </w:pPr>
      <w:r>
        <w:rPr>
          <w:rFonts w:hint="eastAsia" w:ascii="Times New Roman" w:hAnsi="Times New Roman" w:eastAsia="仿宋_GB2312"/>
          <w:color w:val="auto"/>
          <w:sz w:val="32"/>
          <w:szCs w:val="32"/>
          <w:lang w:val="en-US" w:eastAsia="zh-CN"/>
        </w:rPr>
        <w:t xml:space="preserve">     </w:t>
      </w:r>
      <w:r>
        <w:rPr>
          <w:rFonts w:hint="eastAsia" w:ascii="黑体" w:hAnsi="黑体" w:eastAsia="黑体" w:cs="黑体"/>
          <w:b w:val="0"/>
          <w:bCs/>
          <w:color w:val="auto"/>
          <w:sz w:val="32"/>
          <w:szCs w:val="32"/>
        </w:rPr>
        <w:t>六、一般公共预算财政拨款基本支出决算情况说明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年度财政拨款基本支出</w:t>
      </w:r>
      <w:r>
        <w:rPr>
          <w:rFonts w:hint="eastAsia" w:ascii="仿宋_GB2312" w:hAnsi="仿宋_GB2312" w:eastAsia="仿宋_GB2312" w:cs="仿宋_GB2312"/>
          <w:color w:val="auto"/>
          <w:sz w:val="32"/>
          <w:szCs w:val="32"/>
          <w:lang w:val="en-US" w:eastAsia="zh-CN"/>
        </w:rPr>
        <w:t>425.7</w:t>
      </w:r>
      <w:r>
        <w:rPr>
          <w:rFonts w:hint="eastAsia" w:ascii="仿宋_GB2312" w:hAnsi="仿宋_GB2312" w:eastAsia="仿宋_GB2312" w:cs="仿宋_GB2312"/>
          <w:color w:val="auto"/>
          <w:sz w:val="32"/>
          <w:szCs w:val="32"/>
        </w:rPr>
        <w:t>万元，其中：</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rPr>
        <w:t>人员经费</w:t>
      </w:r>
      <w:r>
        <w:rPr>
          <w:rFonts w:hint="eastAsia" w:ascii="仿宋_GB2312" w:hAnsi="仿宋_GB2312" w:eastAsia="仿宋_GB2312" w:cs="仿宋_GB2312"/>
          <w:b/>
          <w:bCs/>
          <w:color w:val="auto"/>
          <w:sz w:val="32"/>
          <w:szCs w:val="32"/>
          <w:lang w:val="en-US" w:eastAsia="zh-CN"/>
        </w:rPr>
        <w:t>395.09</w:t>
      </w:r>
      <w:r>
        <w:rPr>
          <w:rFonts w:hint="eastAsia" w:ascii="仿宋_GB2312" w:hAnsi="仿宋_GB2312" w:eastAsia="仿宋_GB2312" w:cs="仿宋_GB2312"/>
          <w:b/>
          <w:bCs/>
          <w:color w:val="auto"/>
          <w:sz w:val="32"/>
          <w:szCs w:val="32"/>
        </w:rPr>
        <w:t>万元，</w:t>
      </w:r>
      <w:r>
        <w:rPr>
          <w:rFonts w:hint="eastAsia" w:ascii="仿宋_GB2312" w:hAnsi="仿宋_GB2312" w:eastAsia="仿宋_GB2312" w:cs="仿宋_GB2312"/>
          <w:color w:val="auto"/>
          <w:sz w:val="32"/>
          <w:szCs w:val="32"/>
        </w:rPr>
        <w:t>占基本支出的</w:t>
      </w:r>
      <w:r>
        <w:rPr>
          <w:rFonts w:hint="eastAsia" w:ascii="仿宋_GB2312" w:hAnsi="仿宋_GB2312" w:eastAsia="仿宋_GB2312" w:cs="仿宋_GB2312"/>
          <w:color w:val="auto"/>
          <w:sz w:val="32"/>
          <w:szCs w:val="32"/>
          <w:lang w:val="en-US" w:eastAsia="zh-CN"/>
        </w:rPr>
        <w:t>92.81</w:t>
      </w:r>
      <w:r>
        <w:rPr>
          <w:rFonts w:hint="eastAsia" w:ascii="仿宋_GB2312" w:hAnsi="仿宋_GB2312" w:eastAsia="仿宋_GB2312" w:cs="仿宋_GB2312"/>
          <w:color w:val="auto"/>
          <w:sz w:val="32"/>
          <w:szCs w:val="32"/>
        </w:rPr>
        <w:t>%,主要包括基本工资</w:t>
      </w:r>
      <w:r>
        <w:rPr>
          <w:rFonts w:hint="eastAsia" w:ascii="仿宋_GB2312" w:hAnsi="仿宋_GB2312" w:eastAsia="仿宋_GB2312" w:cs="仿宋_GB2312"/>
          <w:color w:val="auto"/>
          <w:sz w:val="32"/>
          <w:szCs w:val="32"/>
          <w:lang w:val="en-US" w:eastAsia="zh-CN"/>
        </w:rPr>
        <w:t>135.76万元</w:t>
      </w:r>
      <w:r>
        <w:rPr>
          <w:rFonts w:hint="eastAsia" w:ascii="仿宋_GB2312" w:hAnsi="仿宋_GB2312" w:eastAsia="仿宋_GB2312" w:cs="仿宋_GB2312"/>
          <w:color w:val="auto"/>
          <w:sz w:val="32"/>
          <w:szCs w:val="32"/>
        </w:rPr>
        <w:t>、津贴补贴</w:t>
      </w:r>
      <w:r>
        <w:rPr>
          <w:rFonts w:hint="eastAsia" w:ascii="仿宋_GB2312" w:hAnsi="仿宋_GB2312" w:eastAsia="仿宋_GB2312" w:cs="仿宋_GB2312"/>
          <w:color w:val="auto"/>
          <w:sz w:val="32"/>
          <w:szCs w:val="32"/>
          <w:lang w:val="en-US" w:eastAsia="zh-CN"/>
        </w:rPr>
        <w:t>66.43万元</w:t>
      </w:r>
      <w:r>
        <w:rPr>
          <w:rFonts w:hint="eastAsia" w:ascii="仿宋_GB2312" w:hAnsi="仿宋_GB2312" w:eastAsia="仿宋_GB2312" w:cs="仿宋_GB2312"/>
          <w:color w:val="auto"/>
          <w:sz w:val="32"/>
          <w:szCs w:val="32"/>
        </w:rPr>
        <w:t>、奖金</w:t>
      </w:r>
      <w:r>
        <w:rPr>
          <w:rFonts w:hint="eastAsia" w:ascii="仿宋_GB2312" w:hAnsi="仿宋_GB2312" w:eastAsia="仿宋_GB2312" w:cs="仿宋_GB2312"/>
          <w:color w:val="auto"/>
          <w:sz w:val="32"/>
          <w:szCs w:val="32"/>
          <w:lang w:val="en-US" w:eastAsia="zh-CN"/>
        </w:rPr>
        <w:t>115.83万元</w:t>
      </w:r>
      <w:r>
        <w:rPr>
          <w:rFonts w:hint="eastAsia" w:ascii="仿宋_GB2312" w:hAnsi="仿宋_GB2312" w:eastAsia="仿宋_GB2312" w:cs="仿宋_GB2312"/>
          <w:color w:val="auto"/>
          <w:sz w:val="32"/>
          <w:szCs w:val="32"/>
        </w:rPr>
        <w:t>、伙食补助费</w:t>
      </w:r>
      <w:r>
        <w:rPr>
          <w:rFonts w:hint="eastAsia" w:ascii="仿宋_GB2312" w:hAnsi="仿宋_GB2312" w:eastAsia="仿宋_GB2312" w:cs="仿宋_GB2312"/>
          <w:color w:val="auto"/>
          <w:sz w:val="32"/>
          <w:szCs w:val="32"/>
          <w:lang w:val="en-US" w:eastAsia="zh-CN"/>
        </w:rPr>
        <w:t>9.27万元、机关事业单位养老保险缴费支出30.33、公务员医疗补助缴费10.92万元、其他社会保障缴费3.82万元、其他对个人和家庭的补助支出26.87万元</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rPr>
        <w:t>公用经费</w:t>
      </w:r>
      <w:r>
        <w:rPr>
          <w:rFonts w:hint="eastAsia" w:ascii="仿宋_GB2312" w:hAnsi="仿宋_GB2312" w:eastAsia="仿宋_GB2312" w:cs="仿宋_GB2312"/>
          <w:b/>
          <w:bCs/>
          <w:color w:val="auto"/>
          <w:sz w:val="32"/>
          <w:szCs w:val="32"/>
          <w:lang w:val="en-US" w:eastAsia="zh-CN"/>
        </w:rPr>
        <w:t>38.25</w:t>
      </w:r>
      <w:r>
        <w:rPr>
          <w:rFonts w:hint="eastAsia" w:ascii="仿宋_GB2312" w:hAnsi="仿宋_GB2312" w:eastAsia="仿宋_GB2312" w:cs="仿宋_GB2312"/>
          <w:b/>
          <w:bCs/>
          <w:color w:val="auto"/>
          <w:sz w:val="32"/>
          <w:szCs w:val="32"/>
        </w:rPr>
        <w:t>万元，</w:t>
      </w:r>
      <w:r>
        <w:rPr>
          <w:rFonts w:hint="eastAsia" w:ascii="仿宋_GB2312" w:hAnsi="仿宋_GB2312" w:eastAsia="仿宋_GB2312" w:cs="仿宋_GB2312"/>
          <w:color w:val="auto"/>
          <w:sz w:val="32"/>
          <w:szCs w:val="32"/>
        </w:rPr>
        <w:t>占基本支出的</w:t>
      </w:r>
      <w:r>
        <w:rPr>
          <w:rFonts w:hint="eastAsia" w:ascii="仿宋_GB2312" w:hAnsi="仿宋_GB2312" w:eastAsia="仿宋_GB2312" w:cs="仿宋_GB2312"/>
          <w:color w:val="auto"/>
          <w:sz w:val="32"/>
          <w:szCs w:val="32"/>
          <w:lang w:val="en-US" w:eastAsia="zh-CN"/>
        </w:rPr>
        <w:t>7.19</w:t>
      </w:r>
      <w:r>
        <w:rPr>
          <w:rFonts w:hint="eastAsia" w:ascii="仿宋_GB2312" w:hAnsi="仿宋_GB2312" w:eastAsia="仿宋_GB2312" w:cs="仿宋_GB2312"/>
          <w:color w:val="auto"/>
          <w:sz w:val="32"/>
          <w:szCs w:val="32"/>
        </w:rPr>
        <w:t>%，主要包括</w:t>
      </w:r>
      <w:r>
        <w:rPr>
          <w:rFonts w:hint="eastAsia" w:ascii="仿宋_GB2312" w:hAnsi="仿宋_GB2312" w:eastAsia="仿宋_GB2312" w:cs="仿宋_GB2312"/>
          <w:color w:val="auto"/>
          <w:sz w:val="32"/>
          <w:szCs w:val="32"/>
          <w:lang w:eastAsia="zh-CN"/>
        </w:rPr>
        <w:t>差旅费</w:t>
      </w:r>
      <w:r>
        <w:rPr>
          <w:rFonts w:hint="eastAsia" w:ascii="仿宋_GB2312" w:hAnsi="仿宋_GB2312" w:eastAsia="仿宋_GB2312" w:cs="仿宋_GB2312"/>
          <w:color w:val="auto"/>
          <w:sz w:val="32"/>
          <w:szCs w:val="32"/>
          <w:lang w:val="en-US" w:eastAsia="zh-CN"/>
        </w:rPr>
        <w:t>1.6万元、会议费1.2万元、公务接待费0.77万元、福利费0.29万元、其他交通费用19.78万元、其他商品和服务支出13.92万元。</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黑体" w:hAnsi="黑体" w:eastAsia="黑体" w:cs="黑体"/>
          <w:b w:val="0"/>
          <w:bCs/>
          <w:color w:val="auto"/>
          <w:sz w:val="32"/>
          <w:szCs w:val="32"/>
        </w:rPr>
        <w:t>七、财政拨款三公经费支出决算情况说明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（一）“三公”经费财政拨款支出决算总体情况说明</w:t>
      </w:r>
    </w:p>
    <w:p>
      <w:pPr>
        <w:pStyle w:val="9"/>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“三公”经费财政拨款支出预算为</w:t>
      </w:r>
      <w:r>
        <w:rPr>
          <w:rFonts w:hint="eastAsia" w:ascii="仿宋_GB2312" w:hAnsi="仿宋_GB2312" w:eastAsia="仿宋_GB2312" w:cs="仿宋_GB2312"/>
          <w:color w:val="auto"/>
          <w:sz w:val="32"/>
          <w:szCs w:val="32"/>
          <w:lang w:val="en-US" w:eastAsia="zh-CN"/>
        </w:rPr>
        <w:t>31.39</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28.72</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91.19</w:t>
      </w:r>
      <w:r>
        <w:rPr>
          <w:rFonts w:hint="eastAsia" w:ascii="仿宋_GB2312" w:hAnsi="仿宋_GB2312" w:eastAsia="仿宋_GB2312" w:cs="仿宋_GB2312"/>
          <w:color w:val="auto"/>
          <w:sz w:val="32"/>
          <w:szCs w:val="32"/>
        </w:rPr>
        <w:t>%，其中：</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因公出国（境）费支出预算为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于</w:t>
      </w:r>
      <w:r>
        <w:rPr>
          <w:rFonts w:hint="eastAsia" w:ascii="仿宋_GB2312" w:hAnsi="仿宋_GB2312" w:eastAsia="仿宋_GB2312" w:cs="仿宋_GB2312"/>
          <w:color w:val="auto"/>
          <w:sz w:val="32"/>
          <w:szCs w:val="32"/>
        </w:rPr>
        <w:t>预算</w:t>
      </w:r>
      <w:r>
        <w:rPr>
          <w:rFonts w:hint="eastAsia" w:ascii="仿宋_GB2312" w:hAnsi="仿宋_GB2312" w:eastAsia="仿宋_GB2312" w:cs="仿宋_GB2312"/>
          <w:color w:val="auto"/>
          <w:sz w:val="32"/>
          <w:szCs w:val="32"/>
          <w:lang w:eastAsia="zh-CN"/>
        </w:rPr>
        <w:t>持平，</w:t>
      </w:r>
      <w:r>
        <w:rPr>
          <w:rFonts w:hint="eastAsia" w:ascii="仿宋_GB2312" w:hAnsi="仿宋_GB2312" w:eastAsia="仿宋_GB2312" w:cs="仿宋_GB2312"/>
          <w:color w:val="auto"/>
          <w:sz w:val="32"/>
          <w:szCs w:val="32"/>
        </w:rPr>
        <w:t>主要原因是</w:t>
      </w:r>
      <w:r>
        <w:rPr>
          <w:rFonts w:hint="eastAsia" w:ascii="仿宋_GB2312" w:hAnsi="仿宋_GB2312" w:eastAsia="仿宋_GB2312" w:cs="仿宋_GB2312"/>
          <w:color w:val="auto"/>
          <w:sz w:val="32"/>
          <w:szCs w:val="32"/>
          <w:lang w:eastAsia="zh-CN"/>
        </w:rPr>
        <w:t>没有发生因公出国（境）的支出</w:t>
      </w:r>
      <w:r>
        <w:rPr>
          <w:rFonts w:hint="eastAsia" w:ascii="仿宋_GB2312" w:hAnsi="仿宋_GB2312" w:eastAsia="仿宋_GB2312" w:cs="仿宋_GB2312"/>
          <w:color w:val="auto"/>
          <w:sz w:val="32"/>
          <w:szCs w:val="32"/>
        </w:rPr>
        <w:t>，与上年相比</w:t>
      </w:r>
      <w:r>
        <w:rPr>
          <w:rFonts w:hint="eastAsia" w:ascii="仿宋_GB2312" w:hAnsi="仿宋_GB2312" w:eastAsia="仿宋_GB2312" w:cs="仿宋_GB2312"/>
          <w:color w:val="auto"/>
          <w:sz w:val="32"/>
          <w:szCs w:val="32"/>
          <w:lang w:eastAsia="zh-CN"/>
        </w:rPr>
        <w:t>持平</w:t>
      </w:r>
      <w:r>
        <w:rPr>
          <w:rFonts w:hint="eastAsia" w:ascii="仿宋_GB2312" w:hAnsi="仿宋_GB2312" w:eastAsia="仿宋_GB2312" w:cs="仿宋_GB2312"/>
          <w:color w:val="auto"/>
          <w:sz w:val="32"/>
          <w:szCs w:val="32"/>
        </w:rPr>
        <w:t>，主要原因是</w:t>
      </w:r>
      <w:r>
        <w:rPr>
          <w:rFonts w:hint="eastAsia" w:ascii="仿宋_GB2312" w:hAnsi="仿宋_GB2312" w:eastAsia="仿宋_GB2312" w:cs="仿宋_GB2312"/>
          <w:color w:val="auto"/>
          <w:sz w:val="32"/>
          <w:szCs w:val="32"/>
          <w:lang w:eastAsia="zh-CN"/>
        </w:rPr>
        <w:t>本年度，上年度均没有发生因公出国（境）的支出</w:t>
      </w:r>
      <w:r>
        <w:rPr>
          <w:rFonts w:hint="eastAsia" w:ascii="仿宋_GB2312" w:hAnsi="仿宋_GB2312" w:eastAsia="仿宋_GB2312" w:cs="仿宋_GB2312"/>
          <w:color w:val="auto"/>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公务接待费支出预算为</w:t>
      </w:r>
      <w:r>
        <w:rPr>
          <w:rFonts w:hint="eastAsia" w:ascii="仿宋_GB2312" w:hAnsi="仿宋_GB2312" w:eastAsia="仿宋_GB2312" w:cs="仿宋_GB2312"/>
          <w:color w:val="auto"/>
          <w:sz w:val="32"/>
          <w:szCs w:val="32"/>
          <w:lang w:val="en-US" w:eastAsia="zh-CN"/>
        </w:rPr>
        <w:t>6.3</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3.64</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57.78</w:t>
      </w:r>
      <w:r>
        <w:rPr>
          <w:rFonts w:hint="eastAsia" w:ascii="仿宋_GB2312" w:hAnsi="仿宋_GB2312" w:eastAsia="仿宋_GB2312" w:cs="仿宋_GB2312"/>
          <w:color w:val="auto"/>
          <w:sz w:val="32"/>
          <w:szCs w:val="32"/>
        </w:rPr>
        <w:t>%，决算数小于预算数的主要原因是</w:t>
      </w:r>
      <w:r>
        <w:rPr>
          <w:rFonts w:hint="eastAsia" w:ascii="仿宋_GB2312" w:hAnsi="仿宋_GB2312" w:eastAsia="仿宋_GB2312" w:cs="仿宋_GB2312"/>
          <w:color w:val="auto"/>
          <w:sz w:val="32"/>
          <w:szCs w:val="32"/>
          <w:lang w:eastAsia="zh-CN"/>
        </w:rPr>
        <w:t>厉行勤俭节约，严控接待标准</w:t>
      </w:r>
      <w:r>
        <w:rPr>
          <w:rFonts w:hint="eastAsia" w:ascii="仿宋_GB2312" w:hAnsi="仿宋_GB2312" w:eastAsia="仿宋_GB2312" w:cs="仿宋_GB2312"/>
          <w:color w:val="auto"/>
          <w:sz w:val="32"/>
          <w:szCs w:val="32"/>
        </w:rPr>
        <w:t>，与上年相比增加</w:t>
      </w:r>
      <w:r>
        <w:rPr>
          <w:rFonts w:hint="eastAsia" w:ascii="仿宋_GB2312" w:hAnsi="仿宋_GB2312" w:eastAsia="仿宋_GB2312" w:cs="仿宋_GB2312"/>
          <w:color w:val="auto"/>
          <w:sz w:val="32"/>
          <w:szCs w:val="32"/>
          <w:lang w:val="en-US" w:eastAsia="zh-CN"/>
        </w:rPr>
        <w:t>0.22</w:t>
      </w:r>
      <w:r>
        <w:rPr>
          <w:rFonts w:hint="eastAsia" w:ascii="仿宋_GB2312" w:hAnsi="仿宋_GB2312" w:eastAsia="仿宋_GB2312" w:cs="仿宋_GB2312"/>
          <w:color w:val="auto"/>
          <w:sz w:val="32"/>
          <w:szCs w:val="32"/>
        </w:rPr>
        <w:t>万元，增长</w:t>
      </w:r>
      <w:r>
        <w:rPr>
          <w:rFonts w:hint="eastAsia" w:ascii="仿宋_GB2312" w:hAnsi="仿宋_GB2312" w:eastAsia="仿宋_GB2312" w:cs="仿宋_GB2312"/>
          <w:color w:val="auto"/>
          <w:sz w:val="32"/>
          <w:szCs w:val="32"/>
          <w:lang w:val="en-US" w:eastAsia="zh-CN"/>
        </w:rPr>
        <w:t>6.43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增长的主要原因是</w:t>
      </w:r>
      <w:r>
        <w:rPr>
          <w:rFonts w:hint="eastAsia" w:ascii="仿宋_GB2312" w:hAnsi="仿宋_GB2312" w:eastAsia="仿宋_GB2312" w:cs="仿宋_GB2312"/>
          <w:color w:val="auto"/>
          <w:sz w:val="32"/>
          <w:szCs w:val="32"/>
          <w:lang w:eastAsia="zh-CN"/>
        </w:rPr>
        <w:t>本年度的接待人数和接待批次比上年度多</w:t>
      </w:r>
      <w:r>
        <w:rPr>
          <w:rFonts w:hint="eastAsia" w:ascii="仿宋_GB2312" w:hAnsi="仿宋_GB2312" w:eastAsia="仿宋_GB2312" w:cs="仿宋_GB2312"/>
          <w:color w:val="auto"/>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公务用车购置费支出预算为</w:t>
      </w:r>
      <w:r>
        <w:rPr>
          <w:rFonts w:hint="eastAsia" w:ascii="仿宋_GB2312" w:hAnsi="仿宋_GB2312" w:eastAsia="仿宋_GB2312" w:cs="仿宋_GB2312"/>
          <w:color w:val="auto"/>
          <w:sz w:val="32"/>
          <w:szCs w:val="32"/>
          <w:lang w:val="en-US" w:eastAsia="zh-CN"/>
        </w:rPr>
        <w:t>20.05</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20.05</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%，决算数</w:t>
      </w:r>
      <w:r>
        <w:rPr>
          <w:rFonts w:hint="eastAsia" w:ascii="仿宋_GB2312" w:hAnsi="仿宋_GB2312" w:eastAsia="仿宋_GB2312" w:cs="仿宋_GB2312"/>
          <w:color w:val="auto"/>
          <w:sz w:val="32"/>
          <w:szCs w:val="32"/>
          <w:lang w:eastAsia="zh-CN"/>
        </w:rPr>
        <w:t>与</w:t>
      </w:r>
      <w:r>
        <w:rPr>
          <w:rFonts w:hint="eastAsia" w:ascii="仿宋_GB2312" w:hAnsi="仿宋_GB2312" w:eastAsia="仿宋_GB2312" w:cs="仿宋_GB2312"/>
          <w:color w:val="auto"/>
          <w:sz w:val="32"/>
          <w:szCs w:val="32"/>
        </w:rPr>
        <w:t>预算数</w:t>
      </w:r>
      <w:r>
        <w:rPr>
          <w:rFonts w:hint="eastAsia" w:ascii="仿宋_GB2312" w:hAnsi="仿宋_GB2312" w:eastAsia="仿宋_GB2312" w:cs="仿宋_GB2312"/>
          <w:color w:val="auto"/>
          <w:sz w:val="32"/>
          <w:szCs w:val="32"/>
          <w:lang w:eastAsia="zh-CN"/>
        </w:rPr>
        <w:t>持平</w:t>
      </w:r>
      <w:r>
        <w:rPr>
          <w:rFonts w:hint="eastAsia" w:ascii="仿宋_GB2312" w:hAnsi="仿宋_GB2312" w:eastAsia="仿宋_GB2312" w:cs="仿宋_GB2312"/>
          <w:color w:val="auto"/>
          <w:sz w:val="32"/>
          <w:szCs w:val="32"/>
        </w:rPr>
        <w:t>的主要原因是</w:t>
      </w:r>
      <w:r>
        <w:rPr>
          <w:rFonts w:hint="eastAsia" w:ascii="仿宋_GB2312" w:hAnsi="仿宋_GB2312" w:eastAsia="仿宋_GB2312" w:cs="仿宋_GB2312"/>
          <w:color w:val="auto"/>
          <w:sz w:val="32"/>
          <w:szCs w:val="32"/>
          <w:lang w:eastAsia="zh-CN"/>
        </w:rPr>
        <w:t>严格按照预算标准配置公务用车</w:t>
      </w:r>
      <w:r>
        <w:rPr>
          <w:rFonts w:hint="eastAsia" w:ascii="仿宋_GB2312" w:hAnsi="仿宋_GB2312" w:eastAsia="仿宋_GB2312" w:cs="仿宋_GB2312"/>
          <w:color w:val="auto"/>
          <w:sz w:val="32"/>
          <w:szCs w:val="32"/>
        </w:rPr>
        <w:t>，与上年相比增加</w:t>
      </w:r>
      <w:r>
        <w:rPr>
          <w:rFonts w:hint="eastAsia" w:ascii="仿宋_GB2312" w:hAnsi="仿宋_GB2312" w:eastAsia="仿宋_GB2312" w:cs="仿宋_GB2312"/>
          <w:color w:val="auto"/>
          <w:sz w:val="32"/>
          <w:szCs w:val="32"/>
          <w:lang w:val="en-US" w:eastAsia="zh-CN"/>
        </w:rPr>
        <w:t>20.05</w:t>
      </w:r>
      <w:r>
        <w:rPr>
          <w:rFonts w:hint="eastAsia" w:ascii="仿宋_GB2312" w:hAnsi="仿宋_GB2312" w:eastAsia="仿宋_GB2312" w:cs="仿宋_GB2312"/>
          <w:color w:val="auto"/>
          <w:sz w:val="32"/>
          <w:szCs w:val="32"/>
        </w:rPr>
        <w:t>万元，增长</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%,增长的主要原因是</w:t>
      </w:r>
      <w:r>
        <w:rPr>
          <w:rFonts w:hint="eastAsia" w:ascii="仿宋_GB2312" w:hAnsi="仿宋_GB2312" w:eastAsia="仿宋_GB2312" w:cs="仿宋_GB2312"/>
          <w:color w:val="auto"/>
          <w:sz w:val="32"/>
          <w:szCs w:val="32"/>
          <w:lang w:eastAsia="zh-CN"/>
        </w:rPr>
        <w:t>本年度新配置了一台公务用车</w:t>
      </w:r>
      <w:r>
        <w:rPr>
          <w:rFonts w:hint="eastAsia" w:ascii="仿宋_GB2312" w:hAnsi="仿宋_GB2312" w:eastAsia="仿宋_GB2312" w:cs="仿宋_GB2312"/>
          <w:color w:val="auto"/>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公务用车运行维护费支出预算为</w:t>
      </w:r>
      <w:r>
        <w:rPr>
          <w:rFonts w:hint="eastAsia" w:ascii="仿宋_GB2312" w:hAnsi="仿宋_GB2312" w:eastAsia="仿宋_GB2312" w:cs="仿宋_GB2312"/>
          <w:color w:val="auto"/>
          <w:sz w:val="32"/>
          <w:szCs w:val="32"/>
          <w:lang w:val="en-US" w:eastAsia="zh-CN"/>
        </w:rPr>
        <w:t>5.04</w:t>
      </w:r>
      <w:r>
        <w:rPr>
          <w:rFonts w:hint="eastAsia" w:ascii="仿宋_GB2312" w:hAnsi="仿宋_GB2312" w:eastAsia="仿宋_GB2312" w:cs="仿宋_GB2312"/>
          <w:color w:val="auto"/>
          <w:sz w:val="32"/>
          <w:szCs w:val="32"/>
        </w:rPr>
        <w:t>万元，支出决算为</w:t>
      </w:r>
      <w:r>
        <w:rPr>
          <w:rFonts w:hint="eastAsia" w:ascii="仿宋_GB2312" w:hAnsi="仿宋_GB2312" w:eastAsia="仿宋_GB2312" w:cs="仿宋_GB2312"/>
          <w:color w:val="auto"/>
          <w:sz w:val="32"/>
          <w:szCs w:val="32"/>
          <w:lang w:val="en-US" w:eastAsia="zh-CN"/>
        </w:rPr>
        <w:t>5.03</w:t>
      </w:r>
      <w:r>
        <w:rPr>
          <w:rFonts w:hint="eastAsia" w:ascii="仿宋_GB2312" w:hAnsi="仿宋_GB2312" w:eastAsia="仿宋_GB2312" w:cs="仿宋_GB2312"/>
          <w:color w:val="auto"/>
          <w:sz w:val="32"/>
          <w:szCs w:val="32"/>
        </w:rPr>
        <w:t>万元，完成预算的</w:t>
      </w:r>
      <w:r>
        <w:rPr>
          <w:rFonts w:hint="eastAsia" w:ascii="仿宋_GB2312" w:hAnsi="仿宋_GB2312" w:eastAsia="仿宋_GB2312" w:cs="仿宋_GB2312"/>
          <w:color w:val="auto"/>
          <w:sz w:val="32"/>
          <w:szCs w:val="32"/>
          <w:lang w:val="en-US" w:eastAsia="zh-CN"/>
        </w:rPr>
        <w:t>99.8</w:t>
      </w:r>
      <w:r>
        <w:rPr>
          <w:rFonts w:hint="eastAsia" w:ascii="仿宋_GB2312" w:hAnsi="仿宋_GB2312" w:eastAsia="仿宋_GB2312" w:cs="仿宋_GB2312"/>
          <w:color w:val="auto"/>
          <w:sz w:val="32"/>
          <w:szCs w:val="32"/>
        </w:rPr>
        <w:t>%，决算数小于预算数的主要原因是</w:t>
      </w:r>
      <w:r>
        <w:rPr>
          <w:rFonts w:hint="eastAsia" w:ascii="仿宋_GB2312" w:hAnsi="仿宋_GB2312" w:eastAsia="仿宋_GB2312" w:cs="仿宋_GB2312"/>
          <w:color w:val="auto"/>
          <w:sz w:val="32"/>
          <w:szCs w:val="32"/>
          <w:lang w:eastAsia="zh-CN"/>
        </w:rPr>
        <w:t>厉行勤俭节约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严格车辆管理。</w:t>
      </w:r>
      <w:r>
        <w:rPr>
          <w:rFonts w:hint="eastAsia" w:ascii="仿宋_GB2312" w:hAnsi="仿宋_GB2312" w:eastAsia="仿宋_GB2312" w:cs="仿宋_GB2312"/>
          <w:color w:val="auto"/>
          <w:sz w:val="32"/>
          <w:szCs w:val="32"/>
        </w:rPr>
        <w:t>与上年相比增加</w:t>
      </w:r>
      <w:r>
        <w:rPr>
          <w:rFonts w:hint="eastAsia" w:ascii="仿宋_GB2312" w:hAnsi="仿宋_GB2312" w:eastAsia="仿宋_GB2312" w:cs="仿宋_GB2312"/>
          <w:color w:val="auto"/>
          <w:sz w:val="32"/>
          <w:szCs w:val="32"/>
          <w:lang w:val="en-US" w:eastAsia="zh-CN"/>
        </w:rPr>
        <w:t>0.51</w:t>
      </w:r>
      <w:r>
        <w:rPr>
          <w:rFonts w:hint="eastAsia" w:ascii="仿宋_GB2312" w:hAnsi="仿宋_GB2312" w:eastAsia="仿宋_GB2312" w:cs="仿宋_GB2312"/>
          <w:color w:val="auto"/>
          <w:sz w:val="32"/>
          <w:szCs w:val="32"/>
        </w:rPr>
        <w:t>万元，增长</w:t>
      </w:r>
      <w:r>
        <w:rPr>
          <w:rFonts w:hint="eastAsia" w:ascii="仿宋_GB2312" w:hAnsi="仿宋_GB2312" w:eastAsia="仿宋_GB2312" w:cs="仿宋_GB2312"/>
          <w:color w:val="auto"/>
          <w:sz w:val="32"/>
          <w:szCs w:val="32"/>
          <w:lang w:val="en-US" w:eastAsia="zh-CN"/>
        </w:rPr>
        <w:t>11.28</w:t>
      </w:r>
      <w:r>
        <w:rPr>
          <w:rFonts w:hint="eastAsia" w:ascii="仿宋_GB2312" w:hAnsi="仿宋_GB2312" w:eastAsia="仿宋_GB2312" w:cs="仿宋_GB2312"/>
          <w:color w:val="auto"/>
          <w:sz w:val="32"/>
          <w:szCs w:val="32"/>
        </w:rPr>
        <w:t>%,增长的主要原因是</w:t>
      </w:r>
      <w:r>
        <w:rPr>
          <w:rFonts w:hint="eastAsia" w:ascii="仿宋_GB2312" w:hAnsi="仿宋_GB2312" w:eastAsia="仿宋_GB2312" w:cs="仿宋_GB2312"/>
          <w:color w:val="auto"/>
          <w:sz w:val="32"/>
          <w:szCs w:val="32"/>
          <w:lang w:eastAsia="zh-CN"/>
        </w:rPr>
        <w:t>车辆使用年限长，油耗和维修费用高，出差任务多</w:t>
      </w:r>
      <w:r>
        <w:rPr>
          <w:rFonts w:hint="eastAsia" w:ascii="仿宋_GB2312" w:hAnsi="仿宋_GB2312" w:eastAsia="仿宋_GB2312" w:cs="仿宋_GB2312"/>
          <w:color w:val="auto"/>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（二）“三公”经费财政拨款支出决算具体情况说明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年度“三公”经费财政拨款支出决算中，公务接待费支出决算</w:t>
      </w:r>
      <w:r>
        <w:rPr>
          <w:rFonts w:hint="eastAsia" w:ascii="仿宋_GB2312" w:hAnsi="仿宋_GB2312" w:eastAsia="仿宋_GB2312" w:cs="仿宋_GB2312"/>
          <w:color w:val="auto"/>
          <w:sz w:val="32"/>
          <w:szCs w:val="32"/>
          <w:lang w:val="en-US" w:eastAsia="zh-CN"/>
        </w:rPr>
        <w:t>3.64</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12.67</w:t>
      </w:r>
      <w:r>
        <w:rPr>
          <w:rFonts w:hint="eastAsia" w:ascii="仿宋_GB2312" w:hAnsi="仿宋_GB2312" w:eastAsia="仿宋_GB2312" w:cs="仿宋_GB2312"/>
          <w:color w:val="auto"/>
          <w:sz w:val="32"/>
          <w:szCs w:val="32"/>
        </w:rPr>
        <w:t>%,因公出国（境）费支出决算</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%,公务用车购置费及运行维护费支出决算</w:t>
      </w:r>
      <w:r>
        <w:rPr>
          <w:rFonts w:hint="eastAsia" w:ascii="仿宋_GB2312" w:hAnsi="仿宋_GB2312" w:eastAsia="仿宋_GB2312" w:cs="仿宋_GB2312"/>
          <w:color w:val="auto"/>
          <w:sz w:val="32"/>
          <w:szCs w:val="32"/>
          <w:lang w:val="en-US" w:eastAsia="zh-CN"/>
        </w:rPr>
        <w:t>25.08</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87.33</w:t>
      </w:r>
      <w:r>
        <w:rPr>
          <w:rFonts w:hint="eastAsia" w:ascii="仿宋_GB2312" w:hAnsi="仿宋_GB2312" w:eastAsia="仿宋_GB2312" w:cs="仿宋_GB2312"/>
          <w:color w:val="auto"/>
          <w:sz w:val="32"/>
          <w:szCs w:val="32"/>
        </w:rPr>
        <w:t>%。其中：</w:t>
      </w:r>
    </w:p>
    <w:p>
      <w:pPr>
        <w:pStyle w:val="9"/>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因公出国（境）费支出决算为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万元，全年安排因公出国（境）团组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个，累计</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人次</w:t>
      </w:r>
      <w:r>
        <w:rPr>
          <w:rFonts w:hint="eastAsia" w:ascii="仿宋_GB2312" w:hAnsi="仿宋_GB2312" w:eastAsia="仿宋_GB2312" w:cs="仿宋_GB2312"/>
          <w:b/>
          <w:bCs/>
          <w:i/>
          <w:color w:val="auto"/>
          <w:sz w:val="32"/>
          <w:szCs w:val="32"/>
        </w:rPr>
        <w:t>,</w:t>
      </w:r>
      <w:r>
        <w:rPr>
          <w:rFonts w:hint="eastAsia" w:ascii="仿宋_GB2312" w:hAnsi="仿宋_GB2312" w:eastAsia="仿宋_GB2312" w:cs="仿宋_GB2312"/>
          <w:color w:val="auto"/>
          <w:sz w:val="32"/>
          <w:szCs w:val="32"/>
          <w:lang w:eastAsia="zh-CN"/>
        </w:rPr>
        <w:t>无</w:t>
      </w:r>
      <w:r>
        <w:rPr>
          <w:rFonts w:hint="eastAsia" w:ascii="仿宋_GB2312" w:hAnsi="仿宋_GB2312" w:eastAsia="仿宋_GB2312" w:cs="仿宋_GB2312"/>
          <w:color w:val="auto"/>
          <w:sz w:val="32"/>
          <w:szCs w:val="32"/>
        </w:rPr>
        <w:t>开支内容</w:t>
      </w:r>
      <w:r>
        <w:rPr>
          <w:rFonts w:hint="eastAsia" w:ascii="仿宋_GB2312" w:hAnsi="仿宋_GB2312" w:eastAsia="仿宋_GB2312" w:cs="仿宋_GB2312"/>
          <w:color w:val="auto"/>
          <w:sz w:val="32"/>
          <w:szCs w:val="32"/>
          <w:lang w:eastAsia="zh-CN"/>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2、公务接待费支出决算为</w:t>
      </w:r>
      <w:r>
        <w:rPr>
          <w:rFonts w:hint="eastAsia" w:ascii="仿宋_GB2312" w:hAnsi="仿宋_GB2312" w:eastAsia="仿宋_GB2312" w:cs="仿宋_GB2312"/>
          <w:color w:val="auto"/>
          <w:sz w:val="32"/>
          <w:szCs w:val="32"/>
          <w:lang w:val="en-US" w:eastAsia="zh-CN"/>
        </w:rPr>
        <w:t>3.64</w:t>
      </w:r>
      <w:r>
        <w:rPr>
          <w:rFonts w:hint="eastAsia" w:ascii="仿宋_GB2312" w:hAnsi="仿宋_GB2312" w:eastAsia="仿宋_GB2312" w:cs="仿宋_GB2312"/>
          <w:color w:val="auto"/>
          <w:sz w:val="32"/>
          <w:szCs w:val="32"/>
        </w:rPr>
        <w:t>万元，全年共接待来访团组</w:t>
      </w:r>
      <w:r>
        <w:rPr>
          <w:rFonts w:hint="eastAsia" w:ascii="仿宋_GB2312" w:hAnsi="仿宋_GB2312" w:eastAsia="仿宋_GB2312" w:cs="仿宋_GB2312"/>
          <w:color w:val="auto"/>
          <w:sz w:val="32"/>
          <w:szCs w:val="32"/>
          <w:lang w:val="en-US" w:eastAsia="zh-CN"/>
        </w:rPr>
        <w:t>38</w:t>
      </w:r>
      <w:r>
        <w:rPr>
          <w:rFonts w:hint="eastAsia" w:ascii="仿宋_GB2312" w:hAnsi="仿宋_GB2312" w:eastAsia="仿宋_GB2312" w:cs="仿宋_GB2312"/>
          <w:color w:val="auto"/>
          <w:sz w:val="32"/>
          <w:szCs w:val="32"/>
        </w:rPr>
        <w:t>个、来宾</w:t>
      </w:r>
      <w:r>
        <w:rPr>
          <w:rFonts w:hint="eastAsia" w:ascii="仿宋_GB2312" w:hAnsi="仿宋_GB2312" w:eastAsia="仿宋_GB2312" w:cs="仿宋_GB2312"/>
          <w:color w:val="auto"/>
          <w:sz w:val="32"/>
          <w:szCs w:val="32"/>
          <w:lang w:val="en-US" w:eastAsia="zh-CN"/>
        </w:rPr>
        <w:t>260</w:t>
      </w:r>
      <w:r>
        <w:rPr>
          <w:rFonts w:hint="eastAsia" w:ascii="仿宋_GB2312" w:hAnsi="仿宋_GB2312" w:eastAsia="仿宋_GB2312" w:cs="仿宋_GB2312"/>
          <w:color w:val="auto"/>
          <w:sz w:val="32"/>
          <w:szCs w:val="32"/>
        </w:rPr>
        <w:t>人次，主要是</w:t>
      </w:r>
      <w:r>
        <w:rPr>
          <w:rFonts w:hint="eastAsia" w:ascii="仿宋_GB2312" w:hAnsi="仿宋_GB2312" w:eastAsia="仿宋_GB2312" w:cs="仿宋_GB2312"/>
          <w:color w:val="auto"/>
          <w:sz w:val="32"/>
          <w:szCs w:val="32"/>
          <w:lang w:eastAsia="zh-CN"/>
        </w:rPr>
        <w:t>省民宗委领导来怀调研、检查工作，下级民宗部门来怀汇报联系工作</w:t>
      </w:r>
      <w:r>
        <w:rPr>
          <w:rFonts w:hint="eastAsia" w:ascii="仿宋_GB2312" w:hAnsi="仿宋_GB2312" w:eastAsia="仿宋_GB2312" w:cs="仿宋_GB2312"/>
          <w:color w:val="auto"/>
          <w:sz w:val="32"/>
          <w:szCs w:val="32"/>
        </w:rPr>
        <w:t>发生的接待支出。</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color w:val="auto"/>
          <w:kern w:val="0"/>
          <w:sz w:val="32"/>
          <w:szCs w:val="32"/>
          <w:lang w:val="en-US" w:eastAsia="zh-CN" w:bidi="ar-SA"/>
        </w:rPr>
      </w:pPr>
      <w:r>
        <w:rPr>
          <w:rFonts w:hint="eastAsia" w:ascii="仿宋_GB2312" w:hAnsi="仿宋_GB2312" w:eastAsia="仿宋_GB2312" w:cs="仿宋_GB2312"/>
          <w:color w:val="auto"/>
          <w:sz w:val="32"/>
          <w:szCs w:val="32"/>
        </w:rPr>
        <w:t>3、公务用车购置费及运行维护费支出决算为</w:t>
      </w:r>
      <w:r>
        <w:rPr>
          <w:rFonts w:hint="eastAsia" w:ascii="仿宋_GB2312" w:hAnsi="仿宋_GB2312" w:eastAsia="仿宋_GB2312" w:cs="仿宋_GB2312"/>
          <w:color w:val="auto"/>
          <w:sz w:val="32"/>
          <w:szCs w:val="32"/>
          <w:lang w:val="en-US" w:eastAsia="zh-CN"/>
        </w:rPr>
        <w:t>25.08</w:t>
      </w:r>
      <w:r>
        <w:rPr>
          <w:rFonts w:hint="eastAsia" w:ascii="仿宋_GB2312" w:hAnsi="仿宋_GB2312" w:eastAsia="仿宋_GB2312" w:cs="仿宋_GB2312"/>
          <w:color w:val="auto"/>
          <w:sz w:val="32"/>
          <w:szCs w:val="32"/>
        </w:rPr>
        <w:t>万元，其中：公务用车购置费</w:t>
      </w:r>
      <w:r>
        <w:rPr>
          <w:rFonts w:hint="eastAsia" w:ascii="仿宋_GB2312" w:hAnsi="仿宋_GB2312" w:eastAsia="仿宋_GB2312" w:cs="仿宋_GB2312"/>
          <w:color w:val="auto"/>
          <w:sz w:val="32"/>
          <w:szCs w:val="32"/>
          <w:lang w:val="en-US" w:eastAsia="zh-CN"/>
        </w:rPr>
        <w:t>20.05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，怀化市民族宗教事务局本级</w:t>
      </w:r>
      <w:r>
        <w:rPr>
          <w:rFonts w:hint="eastAsia" w:ascii="仿宋_GB2312" w:hAnsi="仿宋_GB2312" w:eastAsia="仿宋_GB2312" w:cs="仿宋_GB2312"/>
          <w:color w:val="auto"/>
          <w:sz w:val="32"/>
          <w:szCs w:val="32"/>
        </w:rPr>
        <w:t>更新公务用车</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辆。公务用车运行维护费</w:t>
      </w:r>
      <w:r>
        <w:rPr>
          <w:rFonts w:hint="eastAsia" w:ascii="仿宋_GB2312" w:hAnsi="仿宋_GB2312" w:eastAsia="仿宋_GB2312" w:cs="仿宋_GB2312"/>
          <w:color w:val="auto"/>
          <w:sz w:val="32"/>
          <w:szCs w:val="32"/>
          <w:lang w:val="en-US" w:eastAsia="zh-CN"/>
        </w:rPr>
        <w:t>5.04</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车辆油料费、车辆维修费、过路费等</w:t>
      </w:r>
      <w:r>
        <w:rPr>
          <w:rFonts w:hint="eastAsia" w:ascii="仿宋_GB2312" w:hAnsi="仿宋_GB2312" w:eastAsia="仿宋_GB2312" w:cs="仿宋_GB2312"/>
          <w:color w:val="auto"/>
          <w:sz w:val="32"/>
          <w:szCs w:val="32"/>
        </w:rPr>
        <w:t>支出，截止202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年12月31日，我单位开支财政拨款的公务用车保有量为</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辆。</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pPr>
        <w:pStyle w:val="9"/>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i w:val="0"/>
          <w:iCs w:val="0"/>
          <w:color w:val="auto"/>
          <w:sz w:val="32"/>
          <w:szCs w:val="32"/>
        </w:rPr>
      </w:pPr>
      <w:r>
        <w:rPr>
          <w:rFonts w:hint="eastAsia" w:ascii="Times New Roman" w:hAnsi="Times New Roman" w:eastAsia="仿宋_GB2312"/>
          <w:color w:val="auto"/>
          <w:sz w:val="32"/>
          <w:szCs w:val="32"/>
        </w:rPr>
        <w:t xml:space="preserve">    </w:t>
      </w:r>
      <w:r>
        <w:rPr>
          <w:rFonts w:hint="eastAsia" w:ascii="仿宋_GB2312" w:hAnsi="仿宋_GB2312" w:eastAsia="仿宋_GB2312" w:cs="仿宋_GB2312"/>
          <w:i w:val="0"/>
          <w:iCs w:val="0"/>
          <w:color w:val="auto"/>
          <w:sz w:val="32"/>
          <w:szCs w:val="32"/>
        </w:rPr>
        <w:t xml:space="preserve"> 202</w:t>
      </w:r>
      <w:r>
        <w:rPr>
          <w:rFonts w:hint="eastAsia" w:ascii="仿宋_GB2312" w:hAnsi="仿宋_GB2312" w:eastAsia="仿宋_GB2312" w:cs="仿宋_GB2312"/>
          <w:i w:val="0"/>
          <w:iCs w:val="0"/>
          <w:color w:val="auto"/>
          <w:sz w:val="32"/>
          <w:szCs w:val="32"/>
          <w:lang w:val="en-US" w:eastAsia="zh-CN"/>
        </w:rPr>
        <w:t>2</w:t>
      </w:r>
      <w:r>
        <w:rPr>
          <w:rFonts w:hint="eastAsia" w:ascii="仿宋_GB2312" w:hAnsi="仿宋_GB2312" w:eastAsia="仿宋_GB2312" w:cs="仿宋_GB2312"/>
          <w:i w:val="0"/>
          <w:iCs w:val="0"/>
          <w:color w:val="auto"/>
          <w:sz w:val="32"/>
          <w:szCs w:val="32"/>
        </w:rPr>
        <w:t>年度政府性基金预算财政拨款收入</w:t>
      </w:r>
      <w:r>
        <w:rPr>
          <w:rFonts w:hint="eastAsia" w:ascii="仿宋_GB2312" w:hAnsi="仿宋_GB2312" w:eastAsia="仿宋_GB2312" w:cs="仿宋_GB2312"/>
          <w:i w:val="0"/>
          <w:iCs w:val="0"/>
          <w:color w:val="auto"/>
          <w:sz w:val="32"/>
          <w:szCs w:val="32"/>
          <w:lang w:val="en-US" w:eastAsia="zh-CN"/>
        </w:rPr>
        <w:t>0</w:t>
      </w:r>
      <w:r>
        <w:rPr>
          <w:rFonts w:hint="eastAsia" w:ascii="仿宋_GB2312" w:hAnsi="仿宋_GB2312" w:eastAsia="仿宋_GB2312" w:cs="仿宋_GB2312"/>
          <w:i w:val="0"/>
          <w:iCs w:val="0"/>
          <w:color w:val="auto"/>
          <w:sz w:val="32"/>
          <w:szCs w:val="32"/>
        </w:rPr>
        <w:t>万元；年初结转和结余</w:t>
      </w:r>
      <w:r>
        <w:rPr>
          <w:rFonts w:hint="eastAsia" w:ascii="仿宋_GB2312" w:hAnsi="仿宋_GB2312" w:eastAsia="仿宋_GB2312" w:cs="仿宋_GB2312"/>
          <w:i w:val="0"/>
          <w:iCs w:val="0"/>
          <w:color w:val="auto"/>
          <w:sz w:val="32"/>
          <w:szCs w:val="32"/>
          <w:lang w:val="en-US" w:eastAsia="zh-CN"/>
        </w:rPr>
        <w:t>0</w:t>
      </w:r>
      <w:r>
        <w:rPr>
          <w:rFonts w:hint="eastAsia" w:ascii="仿宋_GB2312" w:hAnsi="仿宋_GB2312" w:eastAsia="仿宋_GB2312" w:cs="仿宋_GB2312"/>
          <w:i w:val="0"/>
          <w:iCs w:val="0"/>
          <w:color w:val="auto"/>
          <w:sz w:val="32"/>
          <w:szCs w:val="32"/>
        </w:rPr>
        <w:t>万元；支出</w:t>
      </w:r>
      <w:r>
        <w:rPr>
          <w:rFonts w:hint="eastAsia" w:ascii="仿宋_GB2312" w:hAnsi="仿宋_GB2312" w:eastAsia="仿宋_GB2312" w:cs="仿宋_GB2312"/>
          <w:i w:val="0"/>
          <w:iCs w:val="0"/>
          <w:color w:val="auto"/>
          <w:sz w:val="32"/>
          <w:szCs w:val="32"/>
          <w:lang w:val="en-US" w:eastAsia="zh-CN"/>
        </w:rPr>
        <w:t>0</w:t>
      </w:r>
      <w:r>
        <w:rPr>
          <w:rFonts w:hint="eastAsia" w:ascii="仿宋_GB2312" w:hAnsi="仿宋_GB2312" w:eastAsia="仿宋_GB2312" w:cs="仿宋_GB2312"/>
          <w:i w:val="0"/>
          <w:iCs w:val="0"/>
          <w:color w:val="auto"/>
          <w:sz w:val="32"/>
          <w:szCs w:val="32"/>
        </w:rPr>
        <w:t>万元，其中基本支出</w:t>
      </w:r>
      <w:r>
        <w:rPr>
          <w:rFonts w:hint="eastAsia" w:ascii="仿宋_GB2312" w:hAnsi="仿宋_GB2312" w:eastAsia="仿宋_GB2312" w:cs="仿宋_GB2312"/>
          <w:i w:val="0"/>
          <w:iCs w:val="0"/>
          <w:color w:val="auto"/>
          <w:sz w:val="32"/>
          <w:szCs w:val="32"/>
          <w:lang w:val="en-US" w:eastAsia="zh-CN"/>
        </w:rPr>
        <w:t>0</w:t>
      </w:r>
      <w:r>
        <w:rPr>
          <w:rFonts w:hint="eastAsia" w:ascii="仿宋_GB2312" w:hAnsi="仿宋_GB2312" w:eastAsia="仿宋_GB2312" w:cs="仿宋_GB2312"/>
          <w:i w:val="0"/>
          <w:iCs w:val="0"/>
          <w:color w:val="auto"/>
          <w:sz w:val="32"/>
          <w:szCs w:val="32"/>
        </w:rPr>
        <w:t>万元，项目支出</w:t>
      </w:r>
      <w:r>
        <w:rPr>
          <w:rFonts w:hint="eastAsia" w:ascii="仿宋_GB2312" w:hAnsi="仿宋_GB2312" w:eastAsia="仿宋_GB2312" w:cs="仿宋_GB2312"/>
          <w:i w:val="0"/>
          <w:iCs w:val="0"/>
          <w:color w:val="auto"/>
          <w:sz w:val="32"/>
          <w:szCs w:val="32"/>
          <w:lang w:val="en-US" w:eastAsia="zh-CN"/>
        </w:rPr>
        <w:t>0</w:t>
      </w:r>
      <w:r>
        <w:rPr>
          <w:rFonts w:hint="eastAsia" w:ascii="仿宋_GB2312" w:hAnsi="仿宋_GB2312" w:eastAsia="仿宋_GB2312" w:cs="仿宋_GB2312"/>
          <w:i w:val="0"/>
          <w:iCs w:val="0"/>
          <w:color w:val="auto"/>
          <w:sz w:val="32"/>
          <w:szCs w:val="32"/>
        </w:rPr>
        <w:t>万元；年末结转和结余</w:t>
      </w:r>
      <w:r>
        <w:rPr>
          <w:rFonts w:hint="eastAsia" w:ascii="仿宋_GB2312" w:hAnsi="仿宋_GB2312" w:eastAsia="仿宋_GB2312" w:cs="仿宋_GB2312"/>
          <w:i w:val="0"/>
          <w:iCs w:val="0"/>
          <w:color w:val="auto"/>
          <w:sz w:val="32"/>
          <w:szCs w:val="32"/>
          <w:lang w:val="en-US" w:eastAsia="zh-CN"/>
        </w:rPr>
        <w:t>0</w:t>
      </w:r>
      <w:r>
        <w:rPr>
          <w:rFonts w:hint="eastAsia" w:ascii="仿宋_GB2312" w:hAnsi="仿宋_GB2312" w:eastAsia="仿宋_GB2312" w:cs="仿宋_GB2312"/>
          <w:i w:val="0"/>
          <w:iCs w:val="0"/>
          <w:color w:val="auto"/>
          <w:sz w:val="32"/>
          <w:szCs w:val="32"/>
        </w:rPr>
        <w:t>万元。</w:t>
      </w:r>
    </w:p>
    <w:p>
      <w:pPr>
        <w:pStyle w:val="9"/>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olor w:val="auto"/>
          <w:sz w:val="32"/>
          <w:szCs w:val="32"/>
          <w:lang w:eastAsia="zh-CN"/>
        </w:rPr>
        <w:t>本单位无政府性基金收支。</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i w:val="0"/>
          <w:iCs w:val="0"/>
          <w:color w:val="auto"/>
          <w:sz w:val="32"/>
          <w:szCs w:val="32"/>
        </w:rPr>
      </w:pPr>
      <w:r>
        <w:rPr>
          <w:rFonts w:hint="eastAsia" w:ascii="仿宋_GB2312" w:hAnsi="仿宋_GB2312" w:eastAsia="仿宋_GB2312" w:cs="仿宋_GB2312"/>
          <w:i w:val="0"/>
          <w:iCs w:val="0"/>
          <w:color w:val="auto"/>
          <w:sz w:val="32"/>
          <w:szCs w:val="32"/>
        </w:rPr>
        <w:t>本部门202</w:t>
      </w:r>
      <w:r>
        <w:rPr>
          <w:rFonts w:hint="eastAsia" w:ascii="仿宋_GB2312" w:hAnsi="仿宋_GB2312" w:eastAsia="仿宋_GB2312" w:cs="仿宋_GB2312"/>
          <w:i w:val="0"/>
          <w:iCs w:val="0"/>
          <w:color w:val="auto"/>
          <w:sz w:val="32"/>
          <w:szCs w:val="32"/>
          <w:lang w:val="en-US" w:eastAsia="zh-CN"/>
        </w:rPr>
        <w:t>2</w:t>
      </w:r>
      <w:r>
        <w:rPr>
          <w:rFonts w:hint="eastAsia" w:ascii="仿宋_GB2312" w:hAnsi="仿宋_GB2312" w:eastAsia="仿宋_GB2312" w:cs="仿宋_GB2312"/>
          <w:i w:val="0"/>
          <w:iCs w:val="0"/>
          <w:color w:val="auto"/>
          <w:sz w:val="32"/>
          <w:szCs w:val="32"/>
        </w:rPr>
        <w:t>年度机关运行经费支出</w:t>
      </w:r>
      <w:r>
        <w:rPr>
          <w:rFonts w:hint="eastAsia" w:ascii="仿宋_GB2312" w:hAnsi="仿宋_GB2312" w:eastAsia="仿宋_GB2312" w:cs="仿宋_GB2312"/>
          <w:i w:val="0"/>
          <w:iCs w:val="0"/>
          <w:color w:val="auto"/>
          <w:sz w:val="32"/>
          <w:szCs w:val="32"/>
          <w:lang w:val="en-US" w:eastAsia="zh-CN"/>
        </w:rPr>
        <w:t>38.25</w:t>
      </w:r>
      <w:r>
        <w:rPr>
          <w:rFonts w:hint="eastAsia" w:ascii="仿宋_GB2312" w:hAnsi="仿宋_GB2312" w:eastAsia="仿宋_GB2312" w:cs="仿宋_GB2312"/>
          <w:i w:val="0"/>
          <w:iCs w:val="0"/>
          <w:color w:val="auto"/>
          <w:sz w:val="32"/>
          <w:szCs w:val="32"/>
        </w:rPr>
        <w:t>万元比年初预算数减少</w:t>
      </w:r>
      <w:r>
        <w:rPr>
          <w:rFonts w:hint="eastAsia" w:ascii="仿宋_GB2312" w:hAnsi="仿宋_GB2312" w:eastAsia="仿宋_GB2312" w:cs="仿宋_GB2312"/>
          <w:i w:val="0"/>
          <w:iCs w:val="0"/>
          <w:color w:val="auto"/>
          <w:sz w:val="32"/>
          <w:szCs w:val="32"/>
          <w:lang w:val="en-US" w:eastAsia="zh-CN"/>
        </w:rPr>
        <w:t>14.55</w:t>
      </w:r>
      <w:r>
        <w:rPr>
          <w:rFonts w:hint="eastAsia" w:ascii="仿宋_GB2312" w:hAnsi="仿宋_GB2312" w:eastAsia="仿宋_GB2312" w:cs="仿宋_GB2312"/>
          <w:i w:val="0"/>
          <w:iCs w:val="0"/>
          <w:color w:val="auto"/>
          <w:sz w:val="32"/>
          <w:szCs w:val="32"/>
        </w:rPr>
        <w:t xml:space="preserve"> 万元，降低</w:t>
      </w:r>
      <w:r>
        <w:rPr>
          <w:rFonts w:hint="eastAsia" w:ascii="仿宋_GB2312" w:hAnsi="仿宋_GB2312" w:eastAsia="仿宋_GB2312" w:cs="仿宋_GB2312"/>
          <w:i w:val="0"/>
          <w:iCs w:val="0"/>
          <w:color w:val="auto"/>
          <w:sz w:val="32"/>
          <w:szCs w:val="32"/>
          <w:lang w:val="en-US" w:eastAsia="zh-CN"/>
        </w:rPr>
        <w:t>27.56</w:t>
      </w:r>
      <w:r>
        <w:rPr>
          <w:rFonts w:hint="eastAsia" w:ascii="仿宋_GB2312" w:hAnsi="仿宋_GB2312" w:eastAsia="仿宋_GB2312" w:cs="仿宋_GB2312"/>
          <w:i w:val="0"/>
          <w:iCs w:val="0"/>
          <w:color w:val="auto"/>
          <w:sz w:val="32"/>
          <w:szCs w:val="32"/>
        </w:rPr>
        <w:t>%。主要原因是：</w:t>
      </w:r>
      <w:r>
        <w:rPr>
          <w:rFonts w:hint="eastAsia" w:ascii="仿宋_GB2312" w:hAnsi="仿宋_GB2312" w:eastAsia="仿宋_GB2312" w:cs="仿宋_GB2312"/>
          <w:i w:val="0"/>
          <w:iCs w:val="0"/>
          <w:color w:val="auto"/>
          <w:sz w:val="32"/>
          <w:szCs w:val="32"/>
          <w:lang w:eastAsia="zh-CN"/>
        </w:rPr>
        <w:t>厉行勤俭节约，压缩机关运行的开支。</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十、一般性支出情况说明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val="0"/>
          <w:iCs w:val="0"/>
          <w:color w:val="auto"/>
          <w:kern w:val="0"/>
          <w:sz w:val="32"/>
          <w:szCs w:val="32"/>
          <w:lang w:val="en-US" w:eastAsia="zh-CN" w:bidi="ar-SA"/>
        </w:rPr>
      </w:pPr>
      <w:r>
        <w:rPr>
          <w:rFonts w:hint="eastAsia" w:ascii="仿宋_GB2312" w:hAnsi="仿宋_GB2312" w:eastAsia="仿宋_GB2312" w:cs="仿宋_GB2312"/>
          <w:i w:val="0"/>
          <w:iCs w:val="0"/>
          <w:color w:val="auto"/>
          <w:sz w:val="32"/>
          <w:szCs w:val="32"/>
        </w:rPr>
        <w:t>202</w:t>
      </w:r>
      <w:r>
        <w:rPr>
          <w:rFonts w:hint="eastAsia" w:ascii="仿宋_GB2312" w:hAnsi="仿宋_GB2312" w:eastAsia="仿宋_GB2312" w:cs="仿宋_GB2312"/>
          <w:i w:val="0"/>
          <w:iCs w:val="0"/>
          <w:color w:val="auto"/>
          <w:sz w:val="32"/>
          <w:szCs w:val="32"/>
          <w:lang w:val="en-US" w:eastAsia="zh-CN"/>
        </w:rPr>
        <w:t>2</w:t>
      </w:r>
      <w:r>
        <w:rPr>
          <w:rFonts w:hint="eastAsia" w:ascii="仿宋_GB2312" w:hAnsi="仿宋_GB2312" w:eastAsia="仿宋_GB2312" w:cs="仿宋_GB2312"/>
          <w:i w:val="0"/>
          <w:iCs w:val="0"/>
          <w:color w:val="auto"/>
          <w:sz w:val="32"/>
          <w:szCs w:val="32"/>
        </w:rPr>
        <w:t>年本部门开支会议费</w:t>
      </w:r>
      <w:r>
        <w:rPr>
          <w:rFonts w:hint="eastAsia" w:ascii="仿宋_GB2312" w:hAnsi="仿宋_GB2312" w:eastAsia="仿宋_GB2312" w:cs="仿宋_GB2312"/>
          <w:i w:val="0"/>
          <w:iCs w:val="0"/>
          <w:color w:val="auto"/>
          <w:sz w:val="32"/>
          <w:szCs w:val="32"/>
          <w:lang w:val="en-US" w:eastAsia="zh-CN"/>
        </w:rPr>
        <w:t>5.82</w:t>
      </w:r>
      <w:r>
        <w:rPr>
          <w:rFonts w:hint="eastAsia" w:ascii="仿宋_GB2312" w:hAnsi="仿宋_GB2312" w:eastAsia="仿宋_GB2312" w:cs="仿宋_GB2312"/>
          <w:i w:val="0"/>
          <w:iCs w:val="0"/>
          <w:color w:val="auto"/>
          <w:sz w:val="32"/>
          <w:szCs w:val="32"/>
        </w:rPr>
        <w:t>万元，用于召开</w:t>
      </w:r>
      <w:r>
        <w:rPr>
          <w:rFonts w:hint="eastAsia" w:ascii="仿宋_GB2312" w:hAnsi="仿宋_GB2312" w:eastAsia="仿宋_GB2312" w:cs="仿宋_GB2312"/>
          <w:i w:val="0"/>
          <w:iCs w:val="0"/>
          <w:color w:val="auto"/>
          <w:sz w:val="32"/>
          <w:szCs w:val="32"/>
          <w:lang w:eastAsia="zh-CN"/>
        </w:rPr>
        <w:t>省委民民族工作电视电话</w:t>
      </w:r>
      <w:r>
        <w:rPr>
          <w:rFonts w:hint="eastAsia" w:ascii="仿宋_GB2312" w:hAnsi="仿宋_GB2312" w:eastAsia="仿宋_GB2312" w:cs="仿宋_GB2312"/>
          <w:i w:val="0"/>
          <w:iCs w:val="0"/>
          <w:color w:val="auto"/>
          <w:sz w:val="32"/>
          <w:szCs w:val="32"/>
        </w:rPr>
        <w:t>会议</w:t>
      </w:r>
      <w:r>
        <w:rPr>
          <w:rFonts w:hint="eastAsia" w:ascii="仿宋_GB2312" w:hAnsi="仿宋_GB2312" w:eastAsia="仿宋_GB2312" w:cs="仿宋_GB2312"/>
          <w:i w:val="0"/>
          <w:iCs w:val="0"/>
          <w:color w:val="auto"/>
          <w:sz w:val="32"/>
          <w:szCs w:val="32"/>
          <w:lang w:eastAsia="zh-CN"/>
        </w:rPr>
        <w:t>（怀化分会场）</w:t>
      </w:r>
      <w:r>
        <w:rPr>
          <w:rFonts w:hint="eastAsia" w:ascii="仿宋_GB2312" w:hAnsi="仿宋_GB2312" w:eastAsia="仿宋_GB2312" w:cs="仿宋_GB2312"/>
          <w:i w:val="0"/>
          <w:iCs w:val="0"/>
          <w:color w:val="auto"/>
          <w:sz w:val="32"/>
          <w:szCs w:val="32"/>
        </w:rPr>
        <w:t>，</w:t>
      </w:r>
      <w:r>
        <w:rPr>
          <w:rFonts w:hint="eastAsia" w:ascii="仿宋_GB2312" w:hAnsi="仿宋_GB2312" w:eastAsia="仿宋_GB2312" w:cs="仿宋_GB2312"/>
          <w:i w:val="0"/>
          <w:iCs w:val="0"/>
          <w:color w:val="auto"/>
          <w:sz w:val="32"/>
          <w:szCs w:val="32"/>
          <w:lang w:eastAsia="zh-CN"/>
        </w:rPr>
        <w:t>人数</w:t>
      </w:r>
      <w:r>
        <w:rPr>
          <w:rFonts w:hint="eastAsia" w:ascii="仿宋_GB2312" w:hAnsi="仿宋_GB2312" w:eastAsia="仿宋_GB2312" w:cs="仿宋_GB2312"/>
          <w:i w:val="0"/>
          <w:iCs w:val="0"/>
          <w:color w:val="auto"/>
          <w:sz w:val="32"/>
          <w:szCs w:val="32"/>
          <w:lang w:val="en-US" w:eastAsia="zh-CN"/>
        </w:rPr>
        <w:t>61人，</w:t>
      </w:r>
      <w:r>
        <w:rPr>
          <w:rFonts w:hint="eastAsia" w:ascii="仿宋_GB2312" w:hAnsi="仿宋_GB2312" w:eastAsia="仿宋_GB2312" w:cs="仿宋_GB2312"/>
          <w:i w:val="0"/>
          <w:iCs w:val="0"/>
          <w:color w:val="auto"/>
          <w:sz w:val="32"/>
          <w:szCs w:val="32"/>
        </w:rPr>
        <w:t>内容为</w:t>
      </w:r>
      <w:r>
        <w:rPr>
          <w:rFonts w:hint="eastAsia" w:ascii="仿宋_GB2312" w:hAnsi="仿宋_GB2312" w:eastAsia="仿宋_GB2312" w:cs="仿宋_GB2312"/>
          <w:i w:val="0"/>
          <w:iCs w:val="0"/>
          <w:color w:val="auto"/>
          <w:sz w:val="32"/>
          <w:szCs w:val="32"/>
          <w:lang w:eastAsia="zh-CN"/>
        </w:rPr>
        <w:t>学习贯彻省委民族工作会议精神，经费预算安排</w:t>
      </w:r>
      <w:r>
        <w:rPr>
          <w:rFonts w:hint="eastAsia" w:ascii="仿宋_GB2312" w:hAnsi="仿宋_GB2312" w:eastAsia="仿宋_GB2312" w:cs="仿宋_GB2312"/>
          <w:i w:val="0"/>
          <w:iCs w:val="0"/>
          <w:color w:val="auto"/>
          <w:sz w:val="32"/>
          <w:szCs w:val="32"/>
          <w:lang w:val="en-US" w:eastAsia="zh-CN"/>
        </w:rPr>
        <w:t>0.35万元，实际开支</w:t>
      </w:r>
      <w:r>
        <w:rPr>
          <w:rFonts w:hint="eastAsia" w:ascii="仿宋_GB2312" w:hAnsi="仿宋_GB2312" w:eastAsia="仿宋_GB2312" w:cs="仿宋_GB2312"/>
          <w:i w:val="0"/>
          <w:iCs w:val="0"/>
          <w:color w:val="auto"/>
          <w:sz w:val="32"/>
          <w:szCs w:val="32"/>
          <w:lang w:eastAsia="zh-CN"/>
        </w:rPr>
        <w:t>金额</w:t>
      </w:r>
      <w:r>
        <w:rPr>
          <w:rFonts w:hint="eastAsia" w:ascii="仿宋_GB2312" w:hAnsi="仿宋_GB2312" w:eastAsia="仿宋_GB2312" w:cs="仿宋_GB2312"/>
          <w:i w:val="0"/>
          <w:iCs w:val="0"/>
          <w:color w:val="auto"/>
          <w:sz w:val="32"/>
          <w:szCs w:val="32"/>
          <w:lang w:val="en-US" w:eastAsia="zh-CN"/>
        </w:rPr>
        <w:t>0.33万元；用于召开怀化市宗教工作专题调研座谈会，人数48人，内容为省，市宗教工作调研，经费预算安排1.03万元，实际开支金额0.64万元；用于召开怀化市民族宗教重点工作会议，人数54人，内容为推进全市民族宗教重点工作，经费预算安排1.25万元，实际开支金额1.06万元</w:t>
      </w:r>
      <w:r>
        <w:rPr>
          <w:rFonts w:hint="eastAsia" w:ascii="仿宋_GB2312" w:hAnsi="仿宋_GB2312" w:eastAsia="仿宋_GB2312" w:cs="仿宋_GB2312"/>
          <w:i w:val="0"/>
          <w:iCs w:val="0"/>
          <w:color w:val="auto"/>
          <w:sz w:val="32"/>
          <w:szCs w:val="32"/>
        </w:rPr>
        <w:t>；</w:t>
      </w:r>
      <w:r>
        <w:rPr>
          <w:rFonts w:hint="eastAsia" w:ascii="仿宋_GB2312" w:hAnsi="仿宋_GB2312" w:eastAsia="仿宋_GB2312" w:cs="仿宋_GB2312"/>
          <w:i w:val="0"/>
          <w:iCs w:val="0"/>
          <w:color w:val="auto"/>
          <w:sz w:val="32"/>
          <w:szCs w:val="32"/>
          <w:lang w:eastAsia="zh-CN"/>
        </w:rPr>
        <w:t>用于市第六届民族运动会筹备、调度会，人数</w:t>
      </w:r>
      <w:r>
        <w:rPr>
          <w:rFonts w:hint="eastAsia" w:ascii="仿宋_GB2312" w:hAnsi="仿宋_GB2312" w:eastAsia="仿宋_GB2312" w:cs="仿宋_GB2312"/>
          <w:i w:val="0"/>
          <w:iCs w:val="0"/>
          <w:color w:val="auto"/>
          <w:sz w:val="32"/>
          <w:szCs w:val="32"/>
          <w:lang w:val="en-US" w:eastAsia="zh-CN"/>
        </w:rPr>
        <w:t>40人，</w:t>
      </w:r>
      <w:r>
        <w:rPr>
          <w:rFonts w:hint="eastAsia" w:ascii="仿宋_GB2312" w:hAnsi="仿宋_GB2312" w:eastAsia="仿宋_GB2312" w:cs="仿宋_GB2312"/>
          <w:i w:val="0"/>
          <w:iCs w:val="0"/>
          <w:color w:val="auto"/>
          <w:sz w:val="32"/>
          <w:szCs w:val="32"/>
          <w:lang w:eastAsia="zh-CN"/>
        </w:rPr>
        <w:t>用于本单位及相关单位筹备调度民族运动会所需会议室的租金，经费预算安排</w:t>
      </w:r>
      <w:r>
        <w:rPr>
          <w:rFonts w:hint="eastAsia" w:ascii="仿宋_GB2312" w:hAnsi="仿宋_GB2312" w:eastAsia="仿宋_GB2312" w:cs="仿宋_GB2312"/>
          <w:i w:val="0"/>
          <w:iCs w:val="0"/>
          <w:color w:val="auto"/>
          <w:sz w:val="32"/>
          <w:szCs w:val="32"/>
          <w:lang w:val="en-US" w:eastAsia="zh-CN"/>
        </w:rPr>
        <w:t>0.5万元，实际开支金额0.48万元；用于怀化市民族团结进步创建工作经验交流现场会，人数180人，内容为全国民族</w:t>
      </w:r>
      <w:r>
        <w:rPr>
          <w:rFonts w:hint="eastAsia" w:ascii="仿宋_GB2312" w:hAnsi="仿宋_GB2312" w:eastAsia="仿宋_GB2312" w:cs="仿宋_GB2312"/>
          <w:i w:val="0"/>
          <w:iCs w:val="0"/>
          <w:color w:val="auto"/>
          <w:sz w:val="32"/>
          <w:szCs w:val="32"/>
        </w:rPr>
        <w:t>开支培训费</w:t>
      </w:r>
      <w:r>
        <w:rPr>
          <w:rFonts w:hint="eastAsia" w:ascii="仿宋_GB2312" w:hAnsi="仿宋_GB2312" w:eastAsia="仿宋_GB2312" w:cs="仿宋_GB2312"/>
          <w:i w:val="0"/>
          <w:iCs w:val="0"/>
          <w:color w:val="auto"/>
          <w:sz w:val="32"/>
          <w:szCs w:val="32"/>
          <w:lang w:val="en-US" w:eastAsia="zh-CN"/>
        </w:rPr>
        <w:t>0</w:t>
      </w:r>
      <w:r>
        <w:rPr>
          <w:rFonts w:hint="eastAsia" w:ascii="仿宋_GB2312" w:hAnsi="仿宋_GB2312" w:eastAsia="仿宋_GB2312" w:cs="仿宋_GB2312"/>
          <w:i w:val="0"/>
          <w:iCs w:val="0"/>
          <w:color w:val="auto"/>
          <w:sz w:val="32"/>
          <w:szCs w:val="32"/>
        </w:rPr>
        <w:t>万元；</w:t>
      </w:r>
      <w:r>
        <w:rPr>
          <w:rFonts w:hint="eastAsia" w:ascii="仿宋_GB2312" w:hAnsi="仿宋_GB2312" w:eastAsia="仿宋_GB2312" w:cs="仿宋_GB2312"/>
          <w:i w:val="0"/>
          <w:iCs w:val="0"/>
          <w:color w:val="auto"/>
          <w:sz w:val="32"/>
          <w:szCs w:val="32"/>
          <w:lang w:eastAsia="zh-CN"/>
        </w:rPr>
        <w:t>无</w:t>
      </w:r>
      <w:r>
        <w:rPr>
          <w:rFonts w:hint="eastAsia" w:ascii="仿宋_GB2312" w:hAnsi="仿宋_GB2312" w:eastAsia="仿宋_GB2312" w:cs="仿宋_GB2312"/>
          <w:i w:val="0"/>
          <w:iCs w:val="0"/>
          <w:color w:val="auto"/>
          <w:sz w:val="32"/>
          <w:szCs w:val="32"/>
        </w:rPr>
        <w:t>节庆、晚会、论坛、赛事活动，开支</w:t>
      </w:r>
      <w:r>
        <w:rPr>
          <w:rFonts w:hint="eastAsia" w:ascii="仿宋_GB2312" w:hAnsi="仿宋_GB2312" w:eastAsia="仿宋_GB2312" w:cs="仿宋_GB2312"/>
          <w:i w:val="0"/>
          <w:iCs w:val="0"/>
          <w:color w:val="auto"/>
          <w:sz w:val="32"/>
          <w:szCs w:val="32"/>
          <w:lang w:val="en-US" w:eastAsia="zh-CN"/>
        </w:rPr>
        <w:t>0</w:t>
      </w:r>
      <w:r>
        <w:rPr>
          <w:rFonts w:hint="eastAsia" w:ascii="仿宋_GB2312" w:hAnsi="仿宋_GB2312" w:eastAsia="仿宋_GB2312" w:cs="仿宋_GB2312"/>
          <w:i w:val="0"/>
          <w:iCs w:val="0"/>
          <w:color w:val="auto"/>
          <w:sz w:val="32"/>
          <w:szCs w:val="32"/>
        </w:rPr>
        <w:t>万元，。</w:t>
      </w:r>
      <w:r>
        <w:rPr>
          <w:rFonts w:hint="eastAsia" w:ascii="仿宋_GB2312" w:hAnsi="仿宋_GB2312" w:eastAsia="仿宋_GB2312" w:cs="仿宋_GB2312"/>
          <w:b/>
          <w:bCs/>
          <w:i w:val="0"/>
          <w:iCs w:val="0"/>
          <w:color w:val="auto"/>
          <w:kern w:val="0"/>
          <w:sz w:val="32"/>
          <w:szCs w:val="32"/>
          <w:lang w:val="en-US" w:eastAsia="zh-CN" w:bidi="ar-SA"/>
        </w:rPr>
        <w:t>（注：三类会议、培训活动，节庆、晚会、论坛、赛事等活动，请分项列明活动计划及经费预算情况）</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十一、关于政府采购支出说明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b/>
          <w:bCs/>
          <w:i/>
          <w:color w:val="auto"/>
          <w:kern w:val="0"/>
          <w:sz w:val="32"/>
          <w:szCs w:val="32"/>
          <w:lang w:val="en-US" w:eastAsia="zh-CN" w:bidi="ar-SA"/>
        </w:rPr>
      </w:pPr>
      <w:r>
        <w:rPr>
          <w:rFonts w:hint="eastAsia" w:ascii="仿宋_GB2312" w:hAnsi="仿宋_GB2312" w:eastAsia="仿宋_GB2312" w:cs="仿宋_GB2312"/>
          <w:color w:val="auto"/>
          <w:sz w:val="32"/>
          <w:szCs w:val="32"/>
        </w:rPr>
        <w:t>本部门202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年度政府采购支出总额</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万元，其中：政府采购货物支出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 xml:space="preserve"> 万元、政府采购工程支出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万元、政府采购服务支出</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万元。授予中小企业合同金额</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万元，占政府采购支出总额的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%，其中：授予小微企业合同金额</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万元，占政府采购支出总额的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%。货物采购授予中小企业合同金额占货物支出金额的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%，工程采购授予中小企业合同金额占工程支出金额的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%，服务采购授予中小企业合同金额占服务支出金额的</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截至202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年12月31日，本单位共有车辆</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辆，其中，主要领导干部用车</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辆，机要通信用车</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辆、应急保障用车</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辆、执法执勤用车</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辆、特种专业技术用车</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辆、其他用车</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辆；单位价值50万元以上通用设备</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台（套）；单位价值100万元以上专用设备</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台（套）。</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2</w:t>
      </w:r>
      <w:r>
        <w:rPr>
          <w:rFonts w:hint="eastAsia" w:ascii="黑体" w:hAnsi="黑体" w:eastAsia="黑体" w:cs="黑体"/>
          <w:b w:val="0"/>
          <w:bCs/>
          <w:color w:val="auto"/>
          <w:sz w:val="32"/>
          <w:szCs w:val="32"/>
        </w:rPr>
        <w:t>年度预算绩效情况的说明</w:t>
      </w:r>
    </w:p>
    <w:p>
      <w:pPr>
        <w:pStyle w:val="9"/>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：怀化市民族宗教事务局部门整体支出绩效自评报告</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附件3：</w:t>
      </w:r>
      <w:r>
        <w:rPr>
          <w:rFonts w:hint="eastAsia" w:ascii="仿宋_GB2312" w:hAnsi="仿宋_GB2312" w:eastAsia="仿宋_GB2312" w:cs="仿宋_GB2312"/>
          <w:color w:val="auto"/>
          <w:sz w:val="32"/>
          <w:szCs w:val="32"/>
          <w:lang w:eastAsia="zh-CN"/>
        </w:rPr>
        <w:t>怀化市民族宗教事务局部门整专项支出绩效自评报告</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p>
    <w:p>
      <w:pPr>
        <w:pStyle w:val="9"/>
        <w:jc w:val="center"/>
        <w:rPr>
          <w:rFonts w:hint="eastAsia" w:ascii="仿宋_GB2312" w:hAnsi="仿宋_GB2312" w:eastAsia="仿宋_GB2312" w:cs="仿宋_GB2312"/>
          <w:color w:val="auto"/>
          <w:sz w:val="32"/>
          <w:szCs w:val="32"/>
        </w:rPr>
      </w:pPr>
    </w:p>
    <w:p>
      <w:pPr>
        <w:pStyle w:val="9"/>
        <w:jc w:val="center"/>
        <w:rPr>
          <w:rFonts w:hint="eastAsia" w:ascii="仿宋_GB2312" w:hAnsi="仿宋_GB2312" w:eastAsia="仿宋_GB2312" w:cs="仿宋_GB2312"/>
          <w:color w:val="auto"/>
          <w:sz w:val="32"/>
          <w:szCs w:val="32"/>
        </w:rPr>
      </w:pPr>
    </w:p>
    <w:p>
      <w:pPr>
        <w:pStyle w:val="9"/>
        <w:jc w:val="center"/>
        <w:rPr>
          <w:rFonts w:hint="eastAsia" w:ascii="仿宋_GB2312" w:hAnsi="仿宋_GB2312" w:eastAsia="仿宋_GB2312" w:cs="仿宋_GB2312"/>
          <w:color w:val="auto"/>
          <w:sz w:val="32"/>
          <w:szCs w:val="32"/>
        </w:rPr>
      </w:pPr>
    </w:p>
    <w:p>
      <w:pPr>
        <w:pStyle w:val="9"/>
        <w:jc w:val="center"/>
        <w:rPr>
          <w:color w:val="auto"/>
          <w:sz w:val="72"/>
          <w:szCs w:val="72"/>
        </w:rPr>
      </w:pPr>
    </w:p>
    <w:p>
      <w:pPr>
        <w:pStyle w:val="9"/>
        <w:jc w:val="center"/>
        <w:rPr>
          <w:color w:val="auto"/>
          <w:sz w:val="72"/>
          <w:szCs w:val="72"/>
        </w:rPr>
      </w:pPr>
    </w:p>
    <w:p>
      <w:pPr>
        <w:pStyle w:val="9"/>
        <w:jc w:val="both"/>
        <w:rPr>
          <w:rFonts w:hint="eastAsia" w:ascii="方正小标宋_GBK" w:hAnsi="方正小标宋_GBK" w:eastAsia="方正小标宋_GBK" w:cs="方正小标宋_GBK"/>
          <w:color w:val="auto"/>
          <w:sz w:val="72"/>
          <w:szCs w:val="72"/>
        </w:rPr>
      </w:pPr>
    </w:p>
    <w:p>
      <w:pPr>
        <w:pStyle w:val="9"/>
        <w:jc w:val="center"/>
        <w:rPr>
          <w:rFonts w:hint="eastAsia" w:ascii="方正小标宋_GBK" w:hAnsi="方正小标宋_GBK" w:eastAsia="方正小标宋_GBK" w:cs="方正小标宋_GBK"/>
          <w:color w:val="auto"/>
          <w:sz w:val="72"/>
          <w:szCs w:val="72"/>
        </w:rPr>
      </w:pPr>
    </w:p>
    <w:p>
      <w:pPr>
        <w:pStyle w:val="9"/>
        <w:jc w:val="center"/>
        <w:rPr>
          <w:rFonts w:hint="eastAsia" w:ascii="方正小标宋_GBK" w:hAnsi="方正小标宋_GBK" w:eastAsia="方正小标宋_GBK" w:cs="方正小标宋_GBK"/>
          <w:color w:val="auto"/>
          <w:sz w:val="72"/>
          <w:szCs w:val="72"/>
        </w:rPr>
      </w:pPr>
    </w:p>
    <w:p>
      <w:pPr>
        <w:pStyle w:val="9"/>
        <w:jc w:val="center"/>
        <w:rPr>
          <w:rFonts w:hint="eastAsia" w:ascii="方正小标宋_GBK" w:hAnsi="方正小标宋_GBK" w:eastAsia="方正小标宋_GBK" w:cs="方正小标宋_GBK"/>
          <w:color w:val="auto"/>
          <w:sz w:val="72"/>
          <w:szCs w:val="72"/>
        </w:rPr>
      </w:pPr>
    </w:p>
    <w:p>
      <w:pPr>
        <w:pStyle w:val="9"/>
        <w:jc w:val="center"/>
        <w:rPr>
          <w:rFonts w:hint="eastAsia" w:ascii="方正小标宋_GBK" w:hAnsi="方正小标宋_GBK" w:eastAsia="方正小标宋_GBK" w:cs="方正小标宋_GBK"/>
          <w:color w:val="auto"/>
          <w:sz w:val="72"/>
          <w:szCs w:val="72"/>
        </w:rPr>
      </w:pPr>
    </w:p>
    <w:p>
      <w:pPr>
        <w:pStyle w:val="9"/>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第四部分</w:t>
      </w:r>
    </w:p>
    <w:p>
      <w:pPr>
        <w:jc w:val="center"/>
        <w:rPr>
          <w:rFonts w:hint="eastAsia" w:ascii="方正小标宋_GBK" w:hAnsi="方正小标宋_GBK" w:eastAsia="方正小标宋_GBK" w:cs="方正小标宋_GBK"/>
          <w:color w:val="auto"/>
          <w:kern w:val="0"/>
          <w:sz w:val="70"/>
          <w:szCs w:val="70"/>
        </w:rPr>
      </w:pPr>
    </w:p>
    <w:p>
      <w:pPr>
        <w:jc w:val="center"/>
        <w:rPr>
          <w:rFonts w:hint="eastAsia" w:ascii="方正小标宋_GBK" w:hAnsi="方正小标宋_GBK" w:eastAsia="方正小标宋_GBK" w:cs="方正小标宋_GBK"/>
          <w:color w:val="auto"/>
          <w:kern w:val="0"/>
          <w:sz w:val="70"/>
          <w:szCs w:val="70"/>
        </w:rPr>
      </w:pPr>
      <w:r>
        <w:rPr>
          <w:rFonts w:hint="eastAsia" w:ascii="方正小标宋_GBK" w:hAnsi="方正小标宋_GBK" w:eastAsia="方正小标宋_GBK" w:cs="方正小标宋_GBK"/>
          <w:color w:val="auto"/>
          <w:kern w:val="0"/>
          <w:sz w:val="70"/>
          <w:szCs w:val="70"/>
        </w:rPr>
        <w:t>名词解释</w:t>
      </w:r>
    </w:p>
    <w:p>
      <w:pPr>
        <w:widowControl/>
        <w:jc w:val="left"/>
        <w:rPr>
          <w:rFonts w:cs="黑体" w:asciiTheme="minorEastAsia" w:hAnsiTheme="minorEastAsia"/>
          <w:color w:val="auto"/>
          <w:kern w:val="0"/>
          <w:sz w:val="32"/>
          <w:szCs w:val="32"/>
        </w:rPr>
      </w:pPr>
      <w:r>
        <w:rPr>
          <w:rFonts w:hint="eastAsia" w:ascii="方正小标宋_GBK" w:hAnsi="方正小标宋_GBK" w:eastAsia="方正小标宋_GBK" w:cs="方正小标宋_GBK"/>
          <w:color w:val="auto"/>
          <w:kern w:val="0"/>
          <w:sz w:val="70"/>
          <w:szCs w:val="70"/>
        </w:rPr>
        <w:br w:type="page"/>
      </w:r>
    </w:p>
    <w:p>
      <w:pPr>
        <w:ind w:firstLine="640" w:firstLineChars="200"/>
        <w:jc w:val="left"/>
        <w:rPr>
          <w:rFonts w:hint="eastAsia" w:ascii="仿宋_GB2312" w:hAnsi="仿宋_GB2312" w:eastAsia="仿宋_GB2312" w:cs="仿宋_GB2312"/>
          <w:color w:val="auto"/>
          <w:kern w:val="0"/>
          <w:sz w:val="32"/>
          <w:szCs w:val="32"/>
          <w:lang w:val="en-US" w:eastAsia="zh-CN" w:bidi="ar-SA"/>
        </w:rPr>
      </w:pPr>
      <w:r>
        <w:rPr>
          <w:rFonts w:hint="eastAsia" w:cs="黑体" w:asciiTheme="minorEastAsia" w:hAnsiTheme="minorEastAsia"/>
          <w:color w:val="auto"/>
          <w:kern w:val="0"/>
          <w:sz w:val="32"/>
          <w:szCs w:val="32"/>
        </w:rPr>
        <w:t>一、</w:t>
      </w:r>
      <w:r>
        <w:rPr>
          <w:rFonts w:hint="eastAsia" w:ascii="仿宋_GB2312" w:hAnsi="仿宋_GB2312" w:eastAsia="仿宋_GB2312" w:cs="仿宋_GB2312"/>
          <w:color w:val="auto"/>
          <w:kern w:val="0"/>
          <w:sz w:val="32"/>
          <w:szCs w:val="32"/>
          <w:lang w:val="en-US" w:eastAsia="zh-CN" w:bidi="ar-SA"/>
        </w:rPr>
        <w:t>民族宗教事务：贯彻执行规、党和国家及省委、省政府关于民族宗教工作的方针、政策和法律、法规章，组织开展民族宗教重大问题和民族地区经济社会发展方面问题的调查研究工作，提出有关民族宗教工作的建议。</w:t>
      </w:r>
    </w:p>
    <w:p>
      <w:pPr>
        <w:pStyle w:val="10"/>
        <w:spacing w:line="600" w:lineRule="exac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二、机关运行经费：为保障行政单位（包括参照公务员法管理的事业单位）运行，用一般公共预算拨款安排用于购买货物和服务的各项资金，包括办公及印刷费、电费、差旅费、福利费、日常维修费、办公用房用水费、办公用房取暖费、办公用房物业管理费、公务用车运行维护费以及其他费用。</w:t>
      </w:r>
    </w:p>
    <w:p>
      <w:pPr>
        <w:pStyle w:val="10"/>
        <w:spacing w:line="600" w:lineRule="exac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三、“三公经费”：纳入财政预算管理的“三公”经费，是指用于一般公共预算拨款安排的公务接待费、公务用车购置费及运行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jc w:val="left"/>
        <w:rPr>
          <w:rFonts w:cs="黑体" w:asciiTheme="minorEastAsia" w:hAnsiTheme="minorEastAsia"/>
          <w:color w:val="auto"/>
          <w:kern w:val="0"/>
          <w:sz w:val="32"/>
          <w:szCs w:val="32"/>
        </w:rPr>
      </w:pPr>
    </w:p>
    <w:p>
      <w:pPr>
        <w:jc w:val="left"/>
        <w:rPr>
          <w:rFonts w:cs="黑体" w:asciiTheme="minorEastAsia" w:hAnsiTheme="minorEastAsia"/>
          <w:color w:val="auto"/>
          <w:kern w:val="0"/>
          <w:sz w:val="32"/>
          <w:szCs w:val="32"/>
        </w:rPr>
      </w:pPr>
    </w:p>
    <w:p>
      <w:pPr>
        <w:ind w:firstLine="640" w:firstLineChars="200"/>
        <w:jc w:val="left"/>
        <w:rPr>
          <w:rFonts w:cs="黑体" w:asciiTheme="minorEastAsia" w:hAnsiTheme="minorEastAsia"/>
          <w:color w:val="auto"/>
          <w:kern w:val="0"/>
          <w:sz w:val="32"/>
          <w:szCs w:val="32"/>
        </w:rPr>
      </w:pPr>
    </w:p>
    <w:p>
      <w:pPr>
        <w:pStyle w:val="9"/>
        <w:ind w:firstLine="640" w:firstLineChars="200"/>
        <w:rPr>
          <w:rFonts w:hint="eastAsia" w:cs="黑体" w:asciiTheme="minorEastAsia" w:hAnsiTheme="minorEastAsia" w:eastAsiaTheme="minorEastAsia"/>
          <w:color w:val="auto"/>
          <w:kern w:val="0"/>
          <w:sz w:val="32"/>
          <w:szCs w:val="32"/>
          <w:lang w:val="en-US" w:eastAsia="zh-CN" w:bidi="ar-SA"/>
        </w:rPr>
      </w:pPr>
    </w:p>
    <w:p>
      <w:pPr>
        <w:pStyle w:val="9"/>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val="0"/>
          <w:iCs/>
          <w:color w:val="auto"/>
          <w:kern w:val="0"/>
          <w:sz w:val="32"/>
          <w:szCs w:val="32"/>
          <w:lang w:val="en-US" w:eastAsia="zh-CN" w:bidi="ar-SA"/>
        </w:rPr>
      </w:pPr>
      <w:bookmarkStart w:id="3" w:name="_GoBack"/>
      <w:bookmarkEnd w:id="3"/>
    </w:p>
    <w:p>
      <w:pPr>
        <w:jc w:val="left"/>
        <w:rPr>
          <w:rFonts w:cs="黑体" w:asciiTheme="minorEastAsia" w:hAnsiTheme="minorEastAsia"/>
          <w:color w:val="auto"/>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D8024D"/>
    <w:multiLevelType w:val="singleLevel"/>
    <w:tmpl w:val="73D8024D"/>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jI0OThmZDk3N2Q4MGYxNDk1YWZlMzE3NGRjYW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03CAC"/>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036C9"/>
    <w:rsid w:val="00F74360"/>
    <w:rsid w:val="00FB462F"/>
    <w:rsid w:val="00FE16FA"/>
    <w:rsid w:val="00FE328A"/>
    <w:rsid w:val="00FE6269"/>
    <w:rsid w:val="00FF5CD6"/>
    <w:rsid w:val="0176597C"/>
    <w:rsid w:val="02624152"/>
    <w:rsid w:val="029D64D1"/>
    <w:rsid w:val="02C620A0"/>
    <w:rsid w:val="03BB1D6C"/>
    <w:rsid w:val="03EA6727"/>
    <w:rsid w:val="041453FF"/>
    <w:rsid w:val="046674A7"/>
    <w:rsid w:val="06AF00E4"/>
    <w:rsid w:val="083F69E2"/>
    <w:rsid w:val="09DB3168"/>
    <w:rsid w:val="0A634F0B"/>
    <w:rsid w:val="0B896BF3"/>
    <w:rsid w:val="0C0A1AE2"/>
    <w:rsid w:val="11E57B9F"/>
    <w:rsid w:val="120C463D"/>
    <w:rsid w:val="13B3480E"/>
    <w:rsid w:val="14524026"/>
    <w:rsid w:val="156A35F2"/>
    <w:rsid w:val="16D73EE1"/>
    <w:rsid w:val="17AC7EF2"/>
    <w:rsid w:val="18694035"/>
    <w:rsid w:val="1917300C"/>
    <w:rsid w:val="1C6B037B"/>
    <w:rsid w:val="20F87D04"/>
    <w:rsid w:val="21D31CA4"/>
    <w:rsid w:val="25B77436"/>
    <w:rsid w:val="297D524A"/>
    <w:rsid w:val="29E60A2E"/>
    <w:rsid w:val="2A6B1546"/>
    <w:rsid w:val="2D4F514F"/>
    <w:rsid w:val="2D7410AF"/>
    <w:rsid w:val="2F77273B"/>
    <w:rsid w:val="2FA33530"/>
    <w:rsid w:val="3058268D"/>
    <w:rsid w:val="348558FB"/>
    <w:rsid w:val="3651512A"/>
    <w:rsid w:val="366652B8"/>
    <w:rsid w:val="368923D2"/>
    <w:rsid w:val="379F4F25"/>
    <w:rsid w:val="39BC1DBE"/>
    <w:rsid w:val="3CDE6165"/>
    <w:rsid w:val="3CE60F00"/>
    <w:rsid w:val="3D2C3BAA"/>
    <w:rsid w:val="3D684A0B"/>
    <w:rsid w:val="3E1A5306"/>
    <w:rsid w:val="404E74E8"/>
    <w:rsid w:val="41315365"/>
    <w:rsid w:val="44615A3C"/>
    <w:rsid w:val="45117EAC"/>
    <w:rsid w:val="45415CDA"/>
    <w:rsid w:val="46821C9A"/>
    <w:rsid w:val="48404E63"/>
    <w:rsid w:val="4ACE1952"/>
    <w:rsid w:val="4B8464B4"/>
    <w:rsid w:val="4C7E1155"/>
    <w:rsid w:val="4F7F321A"/>
    <w:rsid w:val="4F8E742F"/>
    <w:rsid w:val="50072C3E"/>
    <w:rsid w:val="51DC2BA6"/>
    <w:rsid w:val="52D27802"/>
    <w:rsid w:val="532742F5"/>
    <w:rsid w:val="53723CD6"/>
    <w:rsid w:val="558077B3"/>
    <w:rsid w:val="5777D4F5"/>
    <w:rsid w:val="59837DAB"/>
    <w:rsid w:val="5A054C64"/>
    <w:rsid w:val="5CEA3EA6"/>
    <w:rsid w:val="5D431D2B"/>
    <w:rsid w:val="5D6F0D72"/>
    <w:rsid w:val="5FC6BB1E"/>
    <w:rsid w:val="5FF720F1"/>
    <w:rsid w:val="60652344"/>
    <w:rsid w:val="61A46B11"/>
    <w:rsid w:val="629923ED"/>
    <w:rsid w:val="63352116"/>
    <w:rsid w:val="66DC55BD"/>
    <w:rsid w:val="67A1616C"/>
    <w:rsid w:val="69F073CA"/>
    <w:rsid w:val="6A6B466F"/>
    <w:rsid w:val="6C523D39"/>
    <w:rsid w:val="6DE54739"/>
    <w:rsid w:val="6EBD1212"/>
    <w:rsid w:val="737D59BA"/>
    <w:rsid w:val="73C1595B"/>
    <w:rsid w:val="763A0C8F"/>
    <w:rsid w:val="76AF3B36"/>
    <w:rsid w:val="77C37683"/>
    <w:rsid w:val="78300CA6"/>
    <w:rsid w:val="78D37FAF"/>
    <w:rsid w:val="79514810"/>
    <w:rsid w:val="798C63B0"/>
    <w:rsid w:val="79EE3136"/>
    <w:rsid w:val="79FF515B"/>
    <w:rsid w:val="7B407452"/>
    <w:rsid w:val="7B4D01D8"/>
    <w:rsid w:val="7BD36518"/>
    <w:rsid w:val="7C266648"/>
    <w:rsid w:val="7D545437"/>
    <w:rsid w:val="7E192A7E"/>
    <w:rsid w:val="7E9F11B4"/>
    <w:rsid w:val="7ED76882"/>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1</TotalTime>
  <ScaleCrop>false</ScaleCrop>
  <LinksUpToDate>false</LinksUpToDate>
  <CharactersWithSpaces>9008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WPS_1670288513</cp:lastModifiedBy>
  <cp:lastPrinted>2023-08-15T09:28:00Z</cp:lastPrinted>
  <dcterms:modified xsi:type="dcterms:W3CDTF">2023-09-18T06:20:56Z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5FADBA312E4E4FADA5804C15DEB3FAA5_12</vt:lpwstr>
  </property>
</Properties>
</file>