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beforeAutospacing="0" w:after="0" w:afterAutospacing="0" w:line="580" w:lineRule="exact"/>
        <w:jc w:val="center"/>
        <w:textAlignment w:val="auto"/>
        <w:rPr>
          <w:rFonts w:hint="eastAsia" w:ascii="黑体" w:hAnsi="黑体" w:eastAsia="黑体" w:cs="黑体"/>
          <w:b/>
          <w:sz w:val="32"/>
          <w:szCs w:val="32"/>
        </w:rPr>
      </w:pPr>
    </w:p>
    <w:p>
      <w:pPr>
        <w:keepNext w:val="0"/>
        <w:keepLines w:val="0"/>
        <w:pageBreakBefore w:val="0"/>
        <w:widowControl/>
        <w:kinsoku/>
        <w:wordWrap/>
        <w:overflowPunct/>
        <w:topLinePunct w:val="0"/>
        <w:autoSpaceDE/>
        <w:autoSpaceDN/>
        <w:bidi w:val="0"/>
        <w:spacing w:beforeAutospacing="0" w:after="0" w:afterAutospacing="0" w:line="580" w:lineRule="exact"/>
        <w:jc w:val="center"/>
        <w:textAlignment w:val="auto"/>
        <w:rPr>
          <w:rFonts w:ascii="黑体" w:hAnsi="黑体" w:eastAsia="黑体" w:cs="黑体"/>
          <w:b/>
          <w:sz w:val="32"/>
          <w:szCs w:val="32"/>
        </w:rPr>
      </w:pPr>
    </w:p>
    <w:p>
      <w:pPr>
        <w:keepNext w:val="0"/>
        <w:keepLines w:val="0"/>
        <w:pageBreakBefore w:val="0"/>
        <w:widowControl/>
        <w:kinsoku/>
        <w:wordWrap/>
        <w:overflowPunct/>
        <w:topLinePunct w:val="0"/>
        <w:autoSpaceDE/>
        <w:autoSpaceDN/>
        <w:bidi w:val="0"/>
        <w:spacing w:beforeAutospacing="0" w:after="0" w:afterAutospacing="0" w:line="580" w:lineRule="exact"/>
        <w:jc w:val="center"/>
        <w:textAlignment w:val="auto"/>
        <w:rPr>
          <w:rFonts w:ascii="黑体" w:hAnsi="黑体" w:eastAsia="黑体" w:cs="黑体"/>
          <w:b/>
          <w:sz w:val="32"/>
          <w:szCs w:val="32"/>
        </w:rPr>
      </w:pPr>
    </w:p>
    <w:p>
      <w:pPr>
        <w:keepNext w:val="0"/>
        <w:keepLines w:val="0"/>
        <w:pageBreakBefore w:val="0"/>
        <w:widowControl/>
        <w:kinsoku/>
        <w:wordWrap/>
        <w:overflowPunct/>
        <w:topLinePunct w:val="0"/>
        <w:autoSpaceDE/>
        <w:autoSpaceDN/>
        <w:bidi w:val="0"/>
        <w:spacing w:beforeAutospacing="0" w:after="0" w:afterAutospacing="0" w:line="580" w:lineRule="exact"/>
        <w:jc w:val="center"/>
        <w:textAlignment w:val="auto"/>
        <w:rPr>
          <w:rFonts w:ascii="黑体" w:hAnsi="黑体" w:eastAsia="黑体" w:cs="黑体"/>
          <w:b/>
          <w:sz w:val="32"/>
          <w:szCs w:val="32"/>
        </w:rPr>
      </w:pPr>
    </w:p>
    <w:p>
      <w:pPr>
        <w:keepNext w:val="0"/>
        <w:keepLines w:val="0"/>
        <w:pageBreakBefore w:val="0"/>
        <w:widowControl/>
        <w:kinsoku/>
        <w:wordWrap/>
        <w:overflowPunct/>
        <w:topLinePunct w:val="0"/>
        <w:autoSpaceDE/>
        <w:autoSpaceDN/>
        <w:bidi w:val="0"/>
        <w:spacing w:beforeAutospacing="0" w:after="0" w:afterAutospacing="0" w:line="580" w:lineRule="exact"/>
        <w:jc w:val="center"/>
        <w:textAlignment w:val="auto"/>
        <w:rPr>
          <w:rFonts w:ascii="黑体" w:hAnsi="黑体" w:eastAsia="黑体" w:cs="黑体"/>
          <w:b/>
          <w:sz w:val="44"/>
          <w:szCs w:val="44"/>
        </w:rPr>
      </w:pPr>
      <w:r>
        <w:rPr>
          <w:rFonts w:hint="eastAsia" w:ascii="黑体" w:hAnsi="黑体" w:eastAsia="黑体" w:cs="黑体"/>
          <w:b/>
          <w:sz w:val="44"/>
          <w:szCs w:val="44"/>
        </w:rPr>
        <w:t>怀化市民族宗教事务局</w:t>
      </w:r>
    </w:p>
    <w:p>
      <w:pPr>
        <w:keepNext w:val="0"/>
        <w:keepLines w:val="0"/>
        <w:pageBreakBefore w:val="0"/>
        <w:widowControl/>
        <w:kinsoku/>
        <w:wordWrap/>
        <w:overflowPunct/>
        <w:topLinePunct w:val="0"/>
        <w:autoSpaceDE/>
        <w:autoSpaceDN/>
        <w:bidi w:val="0"/>
        <w:spacing w:beforeAutospacing="0" w:after="0" w:afterAutospacing="0" w:line="580" w:lineRule="exact"/>
        <w:jc w:val="center"/>
        <w:textAlignment w:val="auto"/>
        <w:rPr>
          <w:rFonts w:ascii="黑体" w:hAnsi="黑体" w:eastAsia="黑体" w:cs="黑体"/>
          <w:b/>
          <w:sz w:val="44"/>
          <w:szCs w:val="44"/>
        </w:rPr>
      </w:pPr>
      <w:r>
        <w:rPr>
          <w:rFonts w:ascii="黑体" w:hAnsi="黑体" w:eastAsia="黑体" w:cs="黑体"/>
          <w:b/>
          <w:sz w:val="44"/>
          <w:szCs w:val="44"/>
        </w:rPr>
        <w:t>20</w:t>
      </w:r>
      <w:r>
        <w:rPr>
          <w:rFonts w:hint="eastAsia" w:ascii="黑体" w:hAnsi="黑体" w:eastAsia="黑体" w:cs="黑体"/>
          <w:b/>
          <w:sz w:val="44"/>
          <w:szCs w:val="44"/>
          <w:lang w:val="en-US" w:eastAsia="zh-CN"/>
        </w:rPr>
        <w:t>22</w:t>
      </w:r>
      <w:r>
        <w:rPr>
          <w:rFonts w:hint="eastAsia" w:ascii="黑体" w:hAnsi="黑体" w:eastAsia="黑体" w:cs="黑体"/>
          <w:b/>
          <w:sz w:val="44"/>
          <w:szCs w:val="44"/>
        </w:rPr>
        <w:t>年整体支出绩效评价报告</w:t>
      </w:r>
    </w:p>
    <w:p>
      <w:pPr>
        <w:keepNext w:val="0"/>
        <w:keepLines w:val="0"/>
        <w:pageBreakBefore w:val="0"/>
        <w:widowControl/>
        <w:kinsoku/>
        <w:wordWrap/>
        <w:overflowPunct/>
        <w:topLinePunct w:val="0"/>
        <w:autoSpaceDE/>
        <w:autoSpaceDN/>
        <w:bidi w:val="0"/>
        <w:spacing w:beforeAutospacing="0" w:after="0" w:afterAutospacing="0" w:line="580" w:lineRule="exact"/>
        <w:jc w:val="both"/>
        <w:textAlignment w:val="auto"/>
        <w:rPr>
          <w:rFonts w:ascii="宋体" w:hAnsi="宋体" w:eastAsia="宋体"/>
          <w:sz w:val="32"/>
          <w:szCs w:val="32"/>
        </w:rPr>
      </w:pPr>
    </w:p>
    <w:p>
      <w:pPr>
        <w:keepNext w:val="0"/>
        <w:keepLines w:val="0"/>
        <w:pageBreakBefore w:val="0"/>
        <w:widowControl/>
        <w:kinsoku/>
        <w:wordWrap/>
        <w:overflowPunct/>
        <w:topLinePunct w:val="0"/>
        <w:autoSpaceDE/>
        <w:autoSpaceDN/>
        <w:bidi w:val="0"/>
        <w:spacing w:beforeAutospacing="0" w:after="0" w:afterAutospacing="0" w:line="580" w:lineRule="exact"/>
        <w:ind w:firstLine="643" w:firstLineChars="200"/>
        <w:jc w:val="both"/>
        <w:textAlignment w:val="auto"/>
        <w:rPr>
          <w:rFonts w:ascii="黑体" w:hAnsi="黑体" w:eastAsia="黑体" w:cs="黑体"/>
          <w:b/>
          <w:bCs/>
          <w:sz w:val="32"/>
          <w:szCs w:val="32"/>
        </w:rPr>
      </w:pPr>
      <w:r>
        <w:rPr>
          <w:rFonts w:hint="eastAsia" w:ascii="黑体" w:hAnsi="黑体" w:eastAsia="黑体" w:cs="黑体"/>
          <w:b/>
          <w:bCs/>
          <w:sz w:val="32"/>
          <w:szCs w:val="32"/>
        </w:rPr>
        <w:t>一、部门概况</w:t>
      </w:r>
    </w:p>
    <w:p>
      <w:pPr>
        <w:keepNext w:val="0"/>
        <w:keepLines w:val="0"/>
        <w:pageBreakBefore w:val="0"/>
        <w:widowControl/>
        <w:kinsoku/>
        <w:wordWrap/>
        <w:overflowPunct/>
        <w:topLinePunct w:val="0"/>
        <w:autoSpaceDE/>
        <w:autoSpaceDN/>
        <w:bidi w:val="0"/>
        <w:spacing w:beforeAutospacing="0" w:after="0" w:afterAutospacing="0" w:line="580" w:lineRule="exact"/>
        <w:ind w:firstLine="600"/>
        <w:jc w:val="both"/>
        <w:textAlignment w:val="auto"/>
        <w:rPr>
          <w:rFonts w:ascii="黑体" w:hAnsi="黑体" w:eastAsia="黑体" w:cs="黑体"/>
          <w:sz w:val="32"/>
          <w:szCs w:val="32"/>
        </w:rPr>
      </w:pPr>
      <w:r>
        <w:rPr>
          <w:rFonts w:hint="eastAsia" w:ascii="黑体" w:hAnsi="黑体" w:eastAsia="黑体" w:cs="黑体"/>
          <w:sz w:val="32"/>
          <w:szCs w:val="32"/>
        </w:rPr>
        <w:t>（一）部门基本情况</w:t>
      </w:r>
    </w:p>
    <w:p>
      <w:pPr>
        <w:keepNext w:val="0"/>
        <w:keepLines w:val="0"/>
        <w:pageBreakBefore w:val="0"/>
        <w:widowControl/>
        <w:kinsoku/>
        <w:wordWrap/>
        <w:overflowPunct/>
        <w:topLinePunct w:val="0"/>
        <w:autoSpaceDE/>
        <w:autoSpaceDN/>
        <w:bidi w:val="0"/>
        <w:spacing w:beforeAutospacing="0" w:after="0" w:afterAutospacing="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在职人员情况：</w:t>
      </w:r>
      <w:r>
        <w:rPr>
          <w:rFonts w:hint="eastAsia" w:ascii="仿宋_GB2312" w:hAnsi="仿宋_GB2312" w:eastAsia="仿宋_GB2312" w:cs="仿宋_GB2312"/>
          <w:sz w:val="32"/>
          <w:szCs w:val="32"/>
        </w:rPr>
        <w:t>怀化市民宗局现有在职人员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人，退休人员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p>
    <w:p>
      <w:pPr>
        <w:keepNext w:val="0"/>
        <w:keepLines w:val="0"/>
        <w:pageBreakBefore w:val="0"/>
        <w:widowControl/>
        <w:kinsoku/>
        <w:wordWrap/>
        <w:overflowPunct/>
        <w:topLinePunct w:val="0"/>
        <w:autoSpaceDE/>
        <w:autoSpaceDN/>
        <w:bidi w:val="0"/>
        <w:spacing w:beforeAutospacing="0" w:after="0" w:afterAutospacing="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机构设置：</w:t>
      </w:r>
      <w:r>
        <w:rPr>
          <w:rFonts w:hint="eastAsia" w:ascii="仿宋_GB2312" w:hAnsi="仿宋_GB2312" w:eastAsia="仿宋_GB2312" w:cs="仿宋_GB2312"/>
          <w:sz w:val="32"/>
          <w:szCs w:val="32"/>
        </w:rPr>
        <w:t>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个内设机构（办公室、民族政策法规</w:t>
      </w:r>
      <w:r>
        <w:rPr>
          <w:rFonts w:hint="eastAsia" w:ascii="仿宋_GB2312" w:hAnsi="仿宋_GB2312" w:eastAsia="仿宋_GB2312" w:cs="仿宋_GB2312"/>
          <w:sz w:val="32"/>
          <w:szCs w:val="32"/>
          <w:lang w:eastAsia="zh-CN"/>
        </w:rPr>
        <w:t>科（行政审批服务科）</w:t>
      </w:r>
      <w:r>
        <w:rPr>
          <w:rFonts w:hint="eastAsia" w:ascii="仿宋_GB2312" w:hAnsi="仿宋_GB2312" w:eastAsia="仿宋_GB2312" w:cs="仿宋_GB2312"/>
          <w:sz w:val="32"/>
          <w:szCs w:val="32"/>
        </w:rPr>
        <w:t>、民族文化教育科、民族经济发展科、宗教科、）及一个非独立核算的二级</w:t>
      </w:r>
      <w:r>
        <w:rPr>
          <w:rFonts w:hint="eastAsia" w:ascii="仿宋_GB2312" w:hAnsi="仿宋_GB2312" w:eastAsia="仿宋_GB2312" w:cs="仿宋_GB2312"/>
          <w:sz w:val="32"/>
          <w:szCs w:val="32"/>
          <w:lang w:eastAsia="zh-CN"/>
        </w:rPr>
        <w:t>怀化市民族研究和宗教事务中心</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spacing w:beforeAutospacing="0" w:after="0" w:afterAutospacing="0" w:line="580" w:lineRule="exact"/>
        <w:ind w:firstLine="643"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主要职</w:t>
      </w:r>
      <w:r>
        <w:rPr>
          <w:rFonts w:hint="eastAsia" w:ascii="仿宋_GB2312" w:hAnsi="仿宋_GB2312" w:eastAsia="仿宋_GB2312" w:cs="仿宋_GB2312"/>
          <w:b/>
          <w:bCs/>
          <w:sz w:val="32"/>
          <w:szCs w:val="32"/>
          <w:lang w:eastAsia="zh-CN"/>
        </w:rPr>
        <w:t>能</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1、贯彻执行党和国家及省委、省政府关于民族宗教工作的方针、政策和法律、法规、规章，组织开展民族宗教重大问题和民族地区经济社会发展方面问题的调查研究工作，提出有关民族宗教工作的建议。2、开展民族宗教政策和法律法规的宣传教育工作。3、加强与各民族地区的联系和交往，组织开展周边地区民族联谊活动，参与协调维护民族地区社会稳定工作。4、研究分析少数民族和民族地区经济发展和社会事务方面的问题并提出建议，参与做好民族地区对口支援、经济技术合作、民族贸易、民族特需用品生产等工作。5、参与少数民族人才队伍、宗教工作队伍建设规划的制订和实施工作，协助有关部门做好少数民族干部的培养教育和推荐使用工作。6、负责全市宗教方面外事归口管理工作，协同有关部门处理宗教方面涉外事宜，帮助和指导宗教界开展同境外宗教界友好交往活动。7、负责管理全市性爱国宗教团体，搞好民主协商和合作共事关系。8、承办市人民政府交办的其他事项。</w:t>
      </w:r>
    </w:p>
    <w:p>
      <w:pPr>
        <w:pStyle w:val="5"/>
        <w:keepNext w:val="0"/>
        <w:keepLines w:val="0"/>
        <w:pageBreakBefore w:val="0"/>
        <w:widowControl/>
        <w:numPr>
          <w:ilvl w:val="0"/>
          <w:numId w:val="0"/>
        </w:numPr>
        <w:kinsoku/>
        <w:wordWrap/>
        <w:overflowPunct/>
        <w:topLinePunct w:val="0"/>
        <w:autoSpaceDE/>
        <w:autoSpaceDN/>
        <w:bidi w:val="0"/>
        <w:spacing w:before="0" w:beforeAutospacing="0" w:after="0" w:afterAutospacing="0" w:line="580" w:lineRule="exact"/>
        <w:ind w:firstLine="643" w:firstLineChars="200"/>
        <w:jc w:val="both"/>
        <w:textAlignment w:val="auto"/>
        <w:rPr>
          <w:rFonts w:hint="eastAsia" w:ascii="仿宋_GB2312" w:hAnsi="仿宋_GB2312" w:eastAsia="仿宋_GB2312" w:cs="仿宋_GB2312"/>
          <w:b/>
          <w:bCs/>
          <w:sz w:val="32"/>
          <w:szCs w:val="32"/>
          <w:lang w:val="en-US" w:eastAsia="zh-CN" w:bidi="ar-SA"/>
        </w:rPr>
      </w:pPr>
      <w:r>
        <w:rPr>
          <w:rFonts w:hint="eastAsia" w:ascii="仿宋_GB2312" w:hAnsi="仿宋_GB2312" w:eastAsia="仿宋_GB2312" w:cs="仿宋_GB2312"/>
          <w:b/>
          <w:bCs/>
          <w:sz w:val="32"/>
          <w:szCs w:val="32"/>
          <w:lang w:val="en-US" w:eastAsia="zh-CN" w:bidi="ar-SA"/>
        </w:rPr>
        <w:t>本年度的重点工作计划如下：</w:t>
      </w:r>
    </w:p>
    <w:p>
      <w:pPr>
        <w:pStyle w:val="5"/>
        <w:keepNext w:val="0"/>
        <w:keepLines w:val="0"/>
        <w:pageBreakBefore w:val="0"/>
        <w:widowControl/>
        <w:numPr>
          <w:ilvl w:val="0"/>
          <w:numId w:val="0"/>
        </w:numPr>
        <w:kinsoku/>
        <w:wordWrap/>
        <w:overflowPunct/>
        <w:topLinePunct w:val="0"/>
        <w:autoSpaceDE/>
        <w:autoSpaceDN/>
        <w:bidi w:val="0"/>
        <w:spacing w:before="0" w:beforeAutospacing="0" w:after="0" w:afterAutospacing="0" w:line="580" w:lineRule="exact"/>
        <w:ind w:firstLine="643" w:firstLineChars="200"/>
        <w:jc w:val="both"/>
        <w:textAlignment w:val="auto"/>
        <w:rPr>
          <w:rFonts w:hint="eastAsia" w:ascii="仿宋_GB2312" w:hAnsi="仿宋_GB2312" w:eastAsia="仿宋_GB2312" w:cs="仿宋_GB2312"/>
          <w:b/>
          <w:bCs/>
          <w:sz w:val="32"/>
          <w:szCs w:val="32"/>
          <w:lang w:val="en-US" w:eastAsia="zh-CN" w:bidi="ar-SA"/>
        </w:rPr>
      </w:pPr>
      <w:r>
        <w:rPr>
          <w:rFonts w:hint="eastAsia" w:ascii="仿宋" w:hAnsi="仿宋" w:eastAsia="仿宋" w:cs="仿宋"/>
          <w:b/>
          <w:bCs/>
          <w:sz w:val="32"/>
          <w:szCs w:val="32"/>
          <w:lang w:val="en-US" w:eastAsia="zh-CN" w:bidi="ar-SA"/>
        </w:rPr>
        <w:t>◆</w:t>
      </w:r>
      <w:r>
        <w:rPr>
          <w:rFonts w:hint="eastAsia" w:ascii="仿宋_GB2312" w:hAnsi="仿宋_GB2312" w:eastAsia="仿宋_GB2312" w:cs="仿宋_GB2312"/>
          <w:b/>
          <w:bCs/>
          <w:sz w:val="32"/>
          <w:szCs w:val="32"/>
          <w:lang w:val="en-US" w:eastAsia="zh-CN" w:bidi="ar-SA"/>
        </w:rPr>
        <w:t>重要文件和任务清单</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制定并推动落实《怀化市贯彻落实中央和省委民族工作会议精神任务清单》</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制定并推动落实《怀化市贯彻落实全国和全省宗教工作会议精神任务清单</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制定并推动落实《全省民族宗教工作推进会重点工作任务清单》</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推动制定并实施《怀化市民族工作“十四五”发展规划》</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推动落实《怀化市创建全国民族团结进步示范市实施方案》</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制定《怀化市民族宗教领域意识形态风险隐患清单》</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贯彻落实《互联网宗教信息服务管理办法》</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贯彻落实《关于做好统一战线防范化解风险隐患工作的实施方案》</w:t>
      </w:r>
    </w:p>
    <w:p>
      <w:pPr>
        <w:pStyle w:val="5"/>
        <w:keepNext w:val="0"/>
        <w:keepLines w:val="0"/>
        <w:pageBreakBefore w:val="0"/>
        <w:widowControl/>
        <w:numPr>
          <w:ilvl w:val="0"/>
          <w:numId w:val="0"/>
        </w:numPr>
        <w:kinsoku/>
        <w:wordWrap/>
        <w:overflowPunct/>
        <w:topLinePunct w:val="0"/>
        <w:autoSpaceDE/>
        <w:autoSpaceDN/>
        <w:bidi w:val="0"/>
        <w:spacing w:before="0" w:beforeAutospacing="0" w:after="0" w:afterAutospacing="0" w:line="580" w:lineRule="exact"/>
        <w:ind w:firstLine="643" w:firstLineChars="200"/>
        <w:jc w:val="both"/>
        <w:textAlignment w:val="auto"/>
        <w:rPr>
          <w:rFonts w:hint="default" w:ascii="仿宋_GB2312" w:hAnsi="仿宋_GB2312" w:eastAsia="仿宋_GB2312" w:cs="仿宋_GB2312"/>
          <w:b/>
          <w:bCs/>
          <w:sz w:val="32"/>
          <w:szCs w:val="32"/>
          <w:lang w:val="en-US" w:eastAsia="zh-CN" w:bidi="ar-SA"/>
        </w:rPr>
      </w:pPr>
      <w:r>
        <w:rPr>
          <w:rFonts w:hint="eastAsia" w:ascii="仿宋" w:hAnsi="仿宋" w:eastAsia="仿宋" w:cs="仿宋"/>
          <w:b/>
          <w:bCs/>
          <w:sz w:val="32"/>
          <w:szCs w:val="32"/>
          <w:lang w:val="en-US" w:eastAsia="zh-CN" w:bidi="ar-SA"/>
        </w:rPr>
        <w:t>◆</w:t>
      </w:r>
      <w:r>
        <w:rPr>
          <w:rFonts w:hint="eastAsia" w:ascii="仿宋_GB2312" w:hAnsi="仿宋_GB2312" w:eastAsia="仿宋_GB2312" w:cs="仿宋_GB2312"/>
          <w:b/>
          <w:bCs/>
          <w:sz w:val="32"/>
          <w:szCs w:val="32"/>
          <w:lang w:val="en-US" w:eastAsia="zh-CN" w:bidi="ar-SA"/>
        </w:rPr>
        <w:t>重要会议和活动</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召开全市民族宗教工作推进会</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召开怀化市创建全国民族团结进步示范市推进会</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举办全市民宗系统学习贯彻中央和省委市委民族工作会议精神、全国和全省全市宗教工作会议精神主题培训班</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举办全市第六届少数民族传统体育运动会、组队参加湖南省第十届少数民族传统体育运动会</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开展中华优秀传统文化进校园活动</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指导辰溪县罗子山瑶族乡做好40周年乡庆筹备工作，并组团参加庆典活动</w:t>
      </w:r>
    </w:p>
    <w:p>
      <w:pPr>
        <w:pStyle w:val="5"/>
        <w:keepNext w:val="0"/>
        <w:keepLines w:val="0"/>
        <w:pageBreakBefore w:val="0"/>
        <w:widowControl/>
        <w:numPr>
          <w:ilvl w:val="0"/>
          <w:numId w:val="0"/>
        </w:numPr>
        <w:kinsoku/>
        <w:wordWrap/>
        <w:overflowPunct/>
        <w:topLinePunct w:val="0"/>
        <w:autoSpaceDE/>
        <w:autoSpaceDN/>
        <w:bidi w:val="0"/>
        <w:spacing w:before="0" w:beforeAutospacing="0" w:after="0" w:afterAutospacing="0" w:line="580" w:lineRule="exact"/>
        <w:jc w:val="both"/>
        <w:textAlignment w:val="auto"/>
        <w:rPr>
          <w:rFonts w:hint="default" w:ascii="仿宋_GB2312" w:hAnsi="仿宋_GB2312" w:eastAsia="仿宋_GB2312" w:cs="仿宋_GB2312"/>
          <w:b/>
          <w:bCs/>
          <w:sz w:val="32"/>
          <w:szCs w:val="32"/>
          <w:lang w:val="en-US" w:eastAsia="zh-CN" w:bidi="ar-SA"/>
        </w:rPr>
      </w:pPr>
      <w:r>
        <w:rPr>
          <w:rFonts w:hint="eastAsia" w:ascii="仿宋_GB2312" w:hAnsi="仿宋_GB2312" w:eastAsia="仿宋_GB2312" w:cs="仿宋_GB2312"/>
          <w:b/>
          <w:bCs/>
          <w:sz w:val="32"/>
          <w:szCs w:val="32"/>
          <w:lang w:val="en-US" w:eastAsia="zh-CN" w:bidi="ar-SA"/>
        </w:rPr>
        <w:t xml:space="preserve">    </w:t>
      </w:r>
      <w:r>
        <w:rPr>
          <w:rFonts w:hint="eastAsia" w:ascii="仿宋" w:hAnsi="仿宋" w:eastAsia="仿宋" w:cs="仿宋"/>
          <w:b/>
          <w:bCs/>
          <w:sz w:val="32"/>
          <w:szCs w:val="32"/>
          <w:lang w:val="en-US" w:eastAsia="zh-CN" w:bidi="ar-SA"/>
        </w:rPr>
        <w:t>◆</w:t>
      </w:r>
      <w:r>
        <w:rPr>
          <w:rFonts w:hint="eastAsia" w:ascii="仿宋_GB2312" w:hAnsi="仿宋_GB2312" w:eastAsia="仿宋_GB2312" w:cs="仿宋_GB2312"/>
          <w:b/>
          <w:bCs/>
          <w:sz w:val="32"/>
          <w:szCs w:val="32"/>
          <w:lang w:val="en-US" w:eastAsia="zh-CN" w:bidi="ar-SA"/>
        </w:rPr>
        <w:t>重要调研和督查</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开展民族宗教领域“四明白四清楚”大调研</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配合开展《宗教事务条例》《湖南省宗教事务条例》贯彻落实情况调研</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配合开展互联网宗教治理专项工作</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组织开展宗教领域贪大求奢不良风气专项整治</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指导并协调做好通道70周年县庆筹备汇报工作</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组织开展宗教活动场所的消防、建筑、燃气食品等安全隐患排查治理</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指导做好宗教团体换届</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指导市佛协、市道教开展全市佛教道教活动场所常住人员登记调研</w:t>
      </w:r>
    </w:p>
    <w:p>
      <w:pPr>
        <w:pStyle w:val="5"/>
        <w:keepNext w:val="0"/>
        <w:keepLines w:val="0"/>
        <w:pageBreakBefore w:val="0"/>
        <w:widowControl/>
        <w:numPr>
          <w:ilvl w:val="0"/>
          <w:numId w:val="0"/>
        </w:numPr>
        <w:kinsoku/>
        <w:wordWrap/>
        <w:overflowPunct/>
        <w:topLinePunct w:val="0"/>
        <w:autoSpaceDE/>
        <w:autoSpaceDN/>
        <w:bidi w:val="0"/>
        <w:spacing w:before="0" w:beforeAutospacing="0" w:after="0" w:afterAutospacing="0" w:line="580" w:lineRule="exact"/>
        <w:ind w:firstLine="643" w:firstLineChars="200"/>
        <w:jc w:val="both"/>
        <w:textAlignment w:val="auto"/>
        <w:rPr>
          <w:rFonts w:hint="eastAsia" w:ascii="仿宋_GB2312" w:hAnsi="仿宋_GB2312" w:eastAsia="仿宋_GB2312" w:cs="仿宋_GB2312"/>
          <w:b/>
          <w:bCs/>
          <w:sz w:val="32"/>
          <w:szCs w:val="32"/>
          <w:lang w:val="en-US" w:eastAsia="zh-CN" w:bidi="ar-SA"/>
        </w:rPr>
      </w:pPr>
      <w:r>
        <w:rPr>
          <w:rFonts w:hint="eastAsia" w:ascii="仿宋" w:hAnsi="仿宋" w:eastAsia="仿宋" w:cs="仿宋"/>
          <w:b/>
          <w:bCs/>
          <w:sz w:val="32"/>
          <w:szCs w:val="32"/>
          <w:lang w:val="en-US" w:eastAsia="zh-CN" w:bidi="ar-SA"/>
        </w:rPr>
        <w:t>◆</w:t>
      </w:r>
      <w:r>
        <w:rPr>
          <w:rFonts w:hint="eastAsia" w:ascii="仿宋_GB2312" w:hAnsi="仿宋_GB2312" w:eastAsia="仿宋_GB2312" w:cs="仿宋_GB2312"/>
          <w:b/>
          <w:bCs/>
          <w:sz w:val="32"/>
          <w:szCs w:val="32"/>
          <w:lang w:val="en-US" w:eastAsia="zh-CN" w:bidi="ar-SA"/>
        </w:rPr>
        <w:t>重要事项和基础工作</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做好宗教行政执法试点工作</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强化涉民族宗教网络舆情的日常监看，风险研判和应对处置</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深入创建一批“五进五好”宗教示范基地</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深入推进民族乡村振兴试点工作，贯彻落实好“十四五”民贸民品优惠政策</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指导做好第十批全国、全省民族团结进步示范区（单位）、第三批全省民族团结进步教育基地推荐工作，命名一批全市民族团结进步示范单位</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指导做好市民族博物馆建设，筹建一批市级少数民族传统体育基地和少数民族文化传承基地、筑牢中华民族共同体意识教育示范学校</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会同相关部门做好来怀经商、就业、就学、定居各族群众的服务管理工作</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做好《中国少数民族文物图谱》湖南卷、《中华民族交往交流交融史料汇编》怀化资料的收集整理</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持续开展整治非法宗教活动、遏制宗教渗透蔓延工作</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推进海峡两岸少数民族交流合作</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扎实开展抵御境外基督教渗透专项行动</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做好普通高校招生享受民族优惠政策考生资格审核工作</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深化伊斯兰教“三化”问题治理</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继续开展治理佛道教商业化问题“回头看”</w:t>
      </w:r>
    </w:p>
    <w:p>
      <w:pPr>
        <w:pStyle w:val="5"/>
        <w:keepNext w:val="0"/>
        <w:keepLines w:val="0"/>
        <w:pageBreakBefore w:val="0"/>
        <w:widowControl/>
        <w:numPr>
          <w:ilvl w:val="0"/>
          <w:numId w:val="0"/>
        </w:numPr>
        <w:kinsoku/>
        <w:wordWrap/>
        <w:overflowPunct/>
        <w:topLinePunct w:val="0"/>
        <w:autoSpaceDE/>
        <w:autoSpaceDN/>
        <w:bidi w:val="0"/>
        <w:spacing w:before="0" w:beforeAutospacing="0" w:after="0" w:afterAutospacing="0" w:line="580" w:lineRule="exact"/>
        <w:ind w:firstLine="643" w:firstLineChars="200"/>
        <w:jc w:val="both"/>
        <w:textAlignment w:val="auto"/>
        <w:rPr>
          <w:rFonts w:hint="eastAsia" w:ascii="仿宋_GB2312" w:hAnsi="仿宋_GB2312" w:eastAsia="仿宋_GB2312" w:cs="仿宋_GB2312"/>
          <w:b/>
          <w:bCs/>
          <w:sz w:val="32"/>
          <w:szCs w:val="32"/>
          <w:lang w:val="en-US" w:eastAsia="zh-CN" w:bidi="ar-SA"/>
        </w:rPr>
      </w:pPr>
      <w:r>
        <w:rPr>
          <w:rFonts w:hint="eastAsia" w:ascii="仿宋" w:hAnsi="仿宋" w:eastAsia="仿宋" w:cs="仿宋"/>
          <w:b/>
          <w:bCs/>
          <w:sz w:val="32"/>
          <w:szCs w:val="32"/>
          <w:lang w:val="en-US" w:eastAsia="zh-CN" w:bidi="ar-SA"/>
        </w:rPr>
        <w:t>◆</w:t>
      </w:r>
      <w:r>
        <w:rPr>
          <w:rFonts w:hint="eastAsia" w:ascii="仿宋_GB2312" w:hAnsi="仿宋_GB2312" w:eastAsia="仿宋_GB2312" w:cs="仿宋_GB2312"/>
          <w:b/>
          <w:bCs/>
          <w:sz w:val="32"/>
          <w:szCs w:val="32"/>
          <w:lang w:val="en-US" w:eastAsia="zh-CN" w:bidi="ar-SA"/>
        </w:rPr>
        <w:t>自身建设</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深入推进“全市民宗系统基层基础工作提升两年行动”落实落地</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推进“模范机关”、“文明单位”“无烟机关”创建</w:t>
      </w:r>
    </w:p>
    <w:p>
      <w:pPr>
        <w:pStyle w:val="5"/>
        <w:keepNext w:val="0"/>
        <w:keepLines w:val="0"/>
        <w:pageBreakBefore w:val="0"/>
        <w:widowControl/>
        <w:numPr>
          <w:ilvl w:val="0"/>
          <w:numId w:val="1"/>
        </w:numPr>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抓好党风廉政建设，推进“清廉机关”建设</w:t>
      </w:r>
    </w:p>
    <w:p>
      <w:pPr>
        <w:pStyle w:val="5"/>
        <w:keepNext w:val="0"/>
        <w:keepLines w:val="0"/>
        <w:pageBreakBefore w:val="0"/>
        <w:widowControl/>
        <w:numPr>
          <w:ilvl w:val="0"/>
          <w:numId w:val="0"/>
        </w:numPr>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黑体" w:hAnsi="黑体" w:eastAsia="黑体" w:cs="黑体"/>
          <w:kern w:val="2"/>
          <w:sz w:val="32"/>
          <w:szCs w:val="32"/>
          <w:lang w:eastAsia="zh-CN"/>
        </w:rPr>
      </w:pPr>
      <w:r>
        <w:rPr>
          <w:rFonts w:hint="eastAsia" w:ascii="黑体" w:hAnsi="黑体" w:eastAsia="黑体" w:cs="黑体"/>
          <w:kern w:val="2"/>
          <w:sz w:val="32"/>
          <w:szCs w:val="32"/>
          <w:lang w:eastAsia="zh-CN"/>
        </w:rPr>
        <w:t>（二）</w:t>
      </w:r>
      <w:r>
        <w:rPr>
          <w:rFonts w:hint="eastAsia" w:ascii="黑体" w:hAnsi="黑体" w:eastAsia="黑体" w:cs="黑体"/>
          <w:kern w:val="2"/>
          <w:sz w:val="32"/>
          <w:szCs w:val="32"/>
        </w:rPr>
        <w:t>部门整体支出规模，使用方向和主要内容、涉及范围等</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960" w:firstLineChars="300"/>
        <w:jc w:val="both"/>
        <w:textAlignment w:val="auto"/>
        <w:rPr>
          <w:rFonts w:hint="default" w:ascii="仿宋" w:hAnsi="仿宋" w:eastAsia="仿宋"/>
          <w:sz w:val="32"/>
          <w:szCs w:val="32"/>
          <w:lang w:val="en-US" w:eastAsia="zh-CN"/>
        </w:rPr>
      </w:pPr>
      <w:r>
        <w:rPr>
          <w:rFonts w:hint="eastAsia" w:ascii="仿宋_GB2312" w:hAnsi="仿宋_GB2312" w:eastAsia="仿宋_GB2312" w:cs="仿宋_GB2312"/>
          <w:sz w:val="32"/>
          <w:szCs w:val="32"/>
          <w:lang w:val="en-US" w:eastAsia="zh-CN"/>
        </w:rPr>
        <w:t>2022年度市民宗局整体</w:t>
      </w:r>
      <w:r>
        <w:rPr>
          <w:rFonts w:hint="eastAsia" w:ascii="仿宋" w:hAnsi="仿宋" w:eastAsia="仿宋"/>
          <w:sz w:val="32"/>
          <w:szCs w:val="32"/>
        </w:rPr>
        <w:t>收入</w:t>
      </w:r>
      <w:r>
        <w:rPr>
          <w:rFonts w:hint="eastAsia" w:ascii="仿宋" w:hAnsi="仿宋" w:eastAsia="仿宋"/>
          <w:sz w:val="32"/>
          <w:szCs w:val="32"/>
          <w:lang w:val="en-US" w:eastAsia="zh-CN"/>
        </w:rPr>
        <w:t>1103.82</w:t>
      </w:r>
      <w:r>
        <w:rPr>
          <w:rFonts w:hint="eastAsia" w:ascii="仿宋" w:hAnsi="仿宋" w:eastAsia="仿宋"/>
          <w:sz w:val="32"/>
          <w:szCs w:val="32"/>
        </w:rPr>
        <w:t>万元，全部为一般公共预算财政拨款收入</w:t>
      </w:r>
      <w:r>
        <w:rPr>
          <w:rFonts w:hint="eastAsia" w:ascii="仿宋" w:hAnsi="仿宋" w:eastAsia="仿宋"/>
          <w:sz w:val="32"/>
          <w:szCs w:val="32"/>
          <w:lang w:eastAsia="zh-CN"/>
        </w:rPr>
        <w:t>。</w:t>
      </w:r>
      <w:r>
        <w:rPr>
          <w:rFonts w:hint="eastAsia" w:ascii="仿宋" w:hAnsi="仿宋" w:eastAsia="仿宋"/>
          <w:sz w:val="32"/>
          <w:szCs w:val="32"/>
        </w:rPr>
        <w:t>本年度</w:t>
      </w:r>
      <w:r>
        <w:rPr>
          <w:rFonts w:hint="eastAsia" w:ascii="仿宋" w:hAnsi="仿宋" w:eastAsia="仿宋"/>
          <w:sz w:val="32"/>
          <w:szCs w:val="32"/>
          <w:lang w:eastAsia="zh-CN"/>
        </w:rPr>
        <w:t>整体</w:t>
      </w:r>
      <w:r>
        <w:rPr>
          <w:rFonts w:hint="eastAsia" w:ascii="仿宋" w:hAnsi="仿宋" w:eastAsia="仿宋"/>
          <w:sz w:val="32"/>
          <w:szCs w:val="32"/>
        </w:rPr>
        <w:t>支出</w:t>
      </w:r>
      <w:r>
        <w:rPr>
          <w:rFonts w:hint="eastAsia" w:ascii="仿宋" w:hAnsi="仿宋" w:eastAsia="仿宋"/>
          <w:sz w:val="32"/>
          <w:szCs w:val="32"/>
          <w:lang w:val="en-US" w:eastAsia="zh-CN"/>
        </w:rPr>
        <w:t>1103.82</w:t>
      </w:r>
      <w:r>
        <w:rPr>
          <w:rFonts w:hint="eastAsia" w:ascii="仿宋" w:hAnsi="仿宋" w:eastAsia="仿宋"/>
          <w:sz w:val="32"/>
          <w:szCs w:val="32"/>
        </w:rPr>
        <w:t>万元，全部为一般公共预算财政拨款支出</w:t>
      </w:r>
      <w:r>
        <w:rPr>
          <w:rFonts w:hint="eastAsia" w:ascii="仿宋" w:hAnsi="仿宋" w:eastAsia="仿宋"/>
          <w:sz w:val="32"/>
          <w:szCs w:val="32"/>
          <w:lang w:eastAsia="zh-CN"/>
        </w:rPr>
        <w:t>。</w:t>
      </w:r>
      <w:r>
        <w:rPr>
          <w:rFonts w:hint="eastAsia" w:ascii="仿宋" w:hAnsi="仿宋" w:eastAsia="仿宋"/>
          <w:sz w:val="32"/>
          <w:szCs w:val="32"/>
        </w:rPr>
        <w:t>其中</w:t>
      </w:r>
      <w:r>
        <w:rPr>
          <w:rFonts w:hint="eastAsia" w:ascii="仿宋" w:hAnsi="仿宋" w:eastAsia="仿宋"/>
          <w:sz w:val="32"/>
          <w:szCs w:val="32"/>
          <w:lang w:eastAsia="zh-CN"/>
        </w:rPr>
        <w:t>基本支出</w:t>
      </w:r>
      <w:r>
        <w:rPr>
          <w:rFonts w:hint="eastAsia" w:ascii="仿宋" w:hAnsi="仿宋" w:eastAsia="仿宋"/>
          <w:sz w:val="32"/>
          <w:szCs w:val="32"/>
          <w:lang w:val="en-US" w:eastAsia="zh-CN"/>
        </w:rPr>
        <w:t>566.37万元。包括：</w:t>
      </w:r>
      <w:r>
        <w:rPr>
          <w:rFonts w:hint="eastAsia" w:ascii="仿宋" w:hAnsi="仿宋" w:eastAsia="仿宋"/>
          <w:sz w:val="32"/>
          <w:szCs w:val="32"/>
        </w:rPr>
        <w:t>在职人员的工资</w:t>
      </w:r>
      <w:r>
        <w:rPr>
          <w:rFonts w:hint="eastAsia" w:ascii="仿宋" w:hAnsi="仿宋" w:eastAsia="仿宋"/>
          <w:sz w:val="32"/>
          <w:szCs w:val="32"/>
          <w:lang w:eastAsia="zh-CN"/>
        </w:rPr>
        <w:t>福利</w:t>
      </w:r>
      <w:r>
        <w:rPr>
          <w:rFonts w:hint="eastAsia" w:ascii="仿宋" w:hAnsi="仿宋" w:eastAsia="仿宋"/>
          <w:sz w:val="32"/>
          <w:szCs w:val="32"/>
        </w:rPr>
        <w:t>支出</w:t>
      </w:r>
      <w:r>
        <w:rPr>
          <w:rFonts w:hint="eastAsia" w:ascii="仿宋" w:hAnsi="仿宋" w:eastAsia="仿宋"/>
          <w:sz w:val="32"/>
          <w:szCs w:val="32"/>
          <w:lang w:val="en-US" w:eastAsia="zh-CN"/>
        </w:rPr>
        <w:t>331.14</w:t>
      </w:r>
      <w:r>
        <w:rPr>
          <w:rFonts w:hint="eastAsia" w:ascii="仿宋" w:hAnsi="仿宋" w:eastAsia="仿宋"/>
          <w:sz w:val="32"/>
          <w:szCs w:val="32"/>
        </w:rPr>
        <w:t>万元，占总支出的</w:t>
      </w:r>
      <w:r>
        <w:rPr>
          <w:rFonts w:hint="eastAsia" w:ascii="仿宋" w:hAnsi="仿宋" w:eastAsia="仿宋"/>
          <w:sz w:val="32"/>
          <w:szCs w:val="32"/>
          <w:lang w:val="en-US" w:eastAsia="zh-CN"/>
        </w:rPr>
        <w:t>30.02</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机关事业单位基本养老保险</w:t>
      </w:r>
      <w:r>
        <w:rPr>
          <w:rFonts w:hint="eastAsia" w:ascii="仿宋" w:hAnsi="仿宋" w:eastAsia="仿宋"/>
          <w:sz w:val="32"/>
          <w:szCs w:val="32"/>
          <w:lang w:val="en-US" w:eastAsia="zh-CN"/>
        </w:rPr>
        <w:t>30.33</w:t>
      </w:r>
      <w:r>
        <w:rPr>
          <w:rFonts w:hint="eastAsia" w:ascii="仿宋" w:hAnsi="仿宋" w:eastAsia="仿宋"/>
          <w:sz w:val="32"/>
          <w:szCs w:val="32"/>
        </w:rPr>
        <w:t>万元，占总支出的</w:t>
      </w:r>
      <w:r>
        <w:rPr>
          <w:rFonts w:hint="eastAsia" w:ascii="仿宋" w:hAnsi="仿宋" w:eastAsia="仿宋"/>
          <w:sz w:val="32"/>
          <w:szCs w:val="32"/>
          <w:lang w:val="en-US" w:eastAsia="zh-CN"/>
        </w:rPr>
        <w:t>2.75</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行政单位基本医疗</w:t>
      </w:r>
      <w:r>
        <w:rPr>
          <w:rFonts w:hint="eastAsia" w:ascii="仿宋" w:hAnsi="仿宋" w:eastAsia="仿宋"/>
          <w:sz w:val="32"/>
          <w:szCs w:val="32"/>
          <w:lang w:val="en-US" w:eastAsia="zh-CN"/>
        </w:rPr>
        <w:t>15.17</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占总支出的</w:t>
      </w:r>
      <w:r>
        <w:rPr>
          <w:rFonts w:hint="eastAsia" w:ascii="仿宋" w:hAnsi="仿宋" w:eastAsia="仿宋"/>
          <w:sz w:val="32"/>
          <w:szCs w:val="32"/>
          <w:lang w:val="en-US" w:eastAsia="zh-CN"/>
        </w:rPr>
        <w:t>1.37</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退休人员工资</w:t>
      </w:r>
      <w:r>
        <w:rPr>
          <w:rFonts w:hint="eastAsia" w:ascii="仿宋" w:hAnsi="仿宋" w:eastAsia="仿宋"/>
          <w:sz w:val="32"/>
          <w:szCs w:val="32"/>
          <w:lang w:eastAsia="zh-CN"/>
        </w:rPr>
        <w:t>福利，春节补助</w:t>
      </w:r>
      <w:r>
        <w:rPr>
          <w:rFonts w:hint="eastAsia" w:ascii="仿宋" w:hAnsi="仿宋" w:eastAsia="仿宋"/>
          <w:sz w:val="32"/>
          <w:szCs w:val="32"/>
          <w:lang w:val="en-US" w:eastAsia="zh-CN"/>
        </w:rPr>
        <w:t>29.14</w:t>
      </w:r>
      <w:r>
        <w:rPr>
          <w:rFonts w:hint="eastAsia" w:ascii="仿宋" w:hAnsi="仿宋" w:eastAsia="仿宋"/>
          <w:sz w:val="32"/>
          <w:szCs w:val="32"/>
        </w:rPr>
        <w:t>万元，占总支出的</w:t>
      </w:r>
      <w:r>
        <w:rPr>
          <w:rFonts w:hint="eastAsia" w:ascii="仿宋" w:hAnsi="仿宋" w:eastAsia="仿宋"/>
          <w:sz w:val="32"/>
          <w:szCs w:val="32"/>
          <w:lang w:val="en-US" w:eastAsia="zh-CN"/>
        </w:rPr>
        <w:t>2.63</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日常公用经费</w:t>
      </w:r>
      <w:r>
        <w:rPr>
          <w:rFonts w:hint="eastAsia" w:ascii="仿宋" w:hAnsi="仿宋" w:eastAsia="仿宋"/>
          <w:sz w:val="32"/>
          <w:szCs w:val="32"/>
          <w:lang w:eastAsia="zh-CN"/>
        </w:rPr>
        <w:t>，福利费</w:t>
      </w:r>
      <w:r>
        <w:rPr>
          <w:rFonts w:hint="eastAsia" w:ascii="仿宋" w:hAnsi="仿宋" w:eastAsia="仿宋"/>
          <w:sz w:val="32"/>
          <w:szCs w:val="32"/>
          <w:lang w:val="en-US" w:eastAsia="zh-CN"/>
        </w:rPr>
        <w:t>54.35</w:t>
      </w:r>
      <w:r>
        <w:rPr>
          <w:rFonts w:hint="eastAsia" w:ascii="仿宋" w:hAnsi="仿宋" w:eastAsia="仿宋"/>
          <w:sz w:val="32"/>
          <w:szCs w:val="32"/>
        </w:rPr>
        <w:t>万元，占总支出的</w:t>
      </w:r>
      <w:r>
        <w:rPr>
          <w:rFonts w:hint="eastAsia" w:ascii="仿宋" w:hAnsi="仿宋" w:eastAsia="仿宋"/>
          <w:sz w:val="32"/>
          <w:szCs w:val="32"/>
          <w:lang w:val="en-US" w:eastAsia="zh-CN"/>
        </w:rPr>
        <w:t>4.92</w:t>
      </w:r>
      <w:r>
        <w:rPr>
          <w:rFonts w:hint="eastAsia" w:ascii="仿宋" w:hAnsi="仿宋" w:eastAsia="仿宋"/>
          <w:sz w:val="32"/>
          <w:szCs w:val="32"/>
        </w:rPr>
        <w:t>%；少数民族工作经费</w:t>
      </w:r>
      <w:r>
        <w:rPr>
          <w:rFonts w:hint="eastAsia" w:ascii="仿宋" w:hAnsi="仿宋" w:eastAsia="仿宋"/>
          <w:sz w:val="32"/>
          <w:szCs w:val="32"/>
          <w:lang w:val="en-US" w:eastAsia="zh-CN"/>
        </w:rPr>
        <w:t>99.12</w:t>
      </w:r>
      <w:r>
        <w:rPr>
          <w:rFonts w:hint="eastAsia" w:ascii="仿宋" w:hAnsi="仿宋" w:eastAsia="仿宋"/>
          <w:sz w:val="32"/>
          <w:szCs w:val="32"/>
        </w:rPr>
        <w:t>万元，占总支出的</w:t>
      </w:r>
      <w:r>
        <w:rPr>
          <w:rFonts w:hint="eastAsia" w:ascii="仿宋" w:hAnsi="仿宋" w:eastAsia="仿宋"/>
          <w:sz w:val="32"/>
          <w:szCs w:val="32"/>
          <w:lang w:val="en-US" w:eastAsia="zh-CN"/>
        </w:rPr>
        <w:t>8.98</w:t>
      </w:r>
      <w:r>
        <w:rPr>
          <w:rFonts w:hint="eastAsia" w:ascii="仿宋" w:hAnsi="仿宋" w:eastAsia="仿宋"/>
          <w:sz w:val="32"/>
          <w:szCs w:val="32"/>
        </w:rPr>
        <w:t>%</w:t>
      </w:r>
      <w:r>
        <w:rPr>
          <w:rFonts w:hint="eastAsia" w:ascii="仿宋" w:hAnsi="仿宋" w:eastAsia="仿宋"/>
          <w:sz w:val="32"/>
          <w:szCs w:val="32"/>
          <w:lang w:eastAsia="zh-CN"/>
        </w:rPr>
        <w:t>。调研培训经费</w:t>
      </w:r>
      <w:r>
        <w:rPr>
          <w:rFonts w:hint="eastAsia" w:ascii="仿宋" w:hAnsi="仿宋" w:eastAsia="仿宋"/>
          <w:sz w:val="32"/>
          <w:szCs w:val="32"/>
          <w:lang w:val="en-US" w:eastAsia="zh-CN"/>
        </w:rPr>
        <w:t>3.3万元，</w:t>
      </w:r>
      <w:r>
        <w:rPr>
          <w:rFonts w:hint="eastAsia" w:ascii="仿宋" w:hAnsi="仿宋" w:eastAsia="仿宋"/>
          <w:sz w:val="32"/>
          <w:szCs w:val="32"/>
        </w:rPr>
        <w:t>占总支出的</w:t>
      </w:r>
      <w:r>
        <w:rPr>
          <w:rFonts w:hint="eastAsia" w:ascii="仿宋" w:hAnsi="仿宋" w:eastAsia="仿宋"/>
          <w:sz w:val="32"/>
          <w:szCs w:val="32"/>
          <w:lang w:val="en-US" w:eastAsia="zh-CN"/>
        </w:rPr>
        <w:t>0.03</w:t>
      </w:r>
      <w:r>
        <w:rPr>
          <w:rFonts w:hint="eastAsia" w:ascii="仿宋" w:hAnsi="仿宋" w:eastAsia="仿宋"/>
          <w:sz w:val="32"/>
          <w:szCs w:val="32"/>
        </w:rPr>
        <w:t>%</w:t>
      </w:r>
      <w:r>
        <w:rPr>
          <w:rFonts w:hint="eastAsia" w:ascii="仿宋" w:hAnsi="仿宋" w:eastAsia="仿宋"/>
          <w:sz w:val="32"/>
          <w:szCs w:val="32"/>
          <w:lang w:eastAsia="zh-CN"/>
        </w:rPr>
        <w:t>。项目支出</w:t>
      </w:r>
      <w:r>
        <w:rPr>
          <w:rFonts w:hint="eastAsia" w:ascii="仿宋" w:hAnsi="仿宋" w:eastAsia="仿宋"/>
          <w:sz w:val="32"/>
          <w:szCs w:val="32"/>
          <w:lang w:val="en-US" w:eastAsia="zh-CN"/>
        </w:rPr>
        <w:t>394.25万元。包括：</w:t>
      </w:r>
      <w:r>
        <w:rPr>
          <w:rFonts w:hint="eastAsia" w:ascii="仿宋" w:hAnsi="仿宋" w:eastAsia="仿宋"/>
          <w:sz w:val="32"/>
          <w:szCs w:val="32"/>
        </w:rPr>
        <w:t>宗教事务经费</w:t>
      </w:r>
      <w:r>
        <w:rPr>
          <w:rFonts w:hint="eastAsia" w:ascii="仿宋" w:hAnsi="仿宋" w:eastAsia="仿宋"/>
          <w:sz w:val="32"/>
          <w:szCs w:val="32"/>
          <w:lang w:val="en-US" w:eastAsia="zh-CN"/>
        </w:rPr>
        <w:t>28.39</w:t>
      </w:r>
      <w:r>
        <w:rPr>
          <w:rFonts w:hint="eastAsia" w:ascii="仿宋" w:hAnsi="仿宋" w:eastAsia="仿宋"/>
          <w:sz w:val="32"/>
          <w:szCs w:val="32"/>
        </w:rPr>
        <w:t>万元，占总支出的</w:t>
      </w:r>
      <w:r>
        <w:rPr>
          <w:rFonts w:hint="eastAsia" w:ascii="仿宋" w:hAnsi="仿宋" w:eastAsia="仿宋"/>
          <w:sz w:val="32"/>
          <w:szCs w:val="32"/>
          <w:lang w:val="en-US" w:eastAsia="zh-CN"/>
        </w:rPr>
        <w:t>2.57</w:t>
      </w:r>
      <w:r>
        <w:rPr>
          <w:rFonts w:hint="eastAsia" w:ascii="仿宋" w:hAnsi="仿宋" w:eastAsia="仿宋"/>
          <w:sz w:val="32"/>
          <w:szCs w:val="32"/>
        </w:rPr>
        <w:t>%；少数民族文化发展经费</w:t>
      </w:r>
      <w:r>
        <w:rPr>
          <w:rFonts w:hint="eastAsia" w:ascii="仿宋" w:hAnsi="仿宋" w:eastAsia="仿宋"/>
          <w:sz w:val="32"/>
          <w:szCs w:val="32"/>
          <w:lang w:val="en-US" w:eastAsia="zh-CN"/>
        </w:rPr>
        <w:t>30</w:t>
      </w:r>
      <w:r>
        <w:rPr>
          <w:rFonts w:hint="eastAsia" w:ascii="仿宋" w:hAnsi="仿宋" w:eastAsia="仿宋"/>
          <w:sz w:val="32"/>
          <w:szCs w:val="32"/>
        </w:rPr>
        <w:t>万元，占总支出的</w:t>
      </w:r>
      <w:r>
        <w:rPr>
          <w:rFonts w:hint="eastAsia" w:ascii="仿宋" w:hAnsi="仿宋" w:eastAsia="仿宋"/>
          <w:sz w:val="32"/>
          <w:szCs w:val="32"/>
          <w:lang w:val="en-US" w:eastAsia="zh-CN"/>
        </w:rPr>
        <w:t>2.72</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民族乡两项经费1</w:t>
      </w:r>
      <w:r>
        <w:rPr>
          <w:rFonts w:hint="eastAsia" w:ascii="仿宋" w:hAnsi="仿宋" w:eastAsia="仿宋"/>
          <w:sz w:val="32"/>
          <w:szCs w:val="32"/>
          <w:lang w:val="en-US" w:eastAsia="zh-CN"/>
        </w:rPr>
        <w:t>14</w:t>
      </w:r>
      <w:r>
        <w:rPr>
          <w:rFonts w:hint="eastAsia" w:ascii="仿宋" w:hAnsi="仿宋" w:eastAsia="仿宋"/>
          <w:sz w:val="32"/>
          <w:szCs w:val="32"/>
        </w:rPr>
        <w:t>万元，占总支出的</w:t>
      </w:r>
      <w:r>
        <w:rPr>
          <w:rFonts w:hint="eastAsia" w:ascii="仿宋" w:hAnsi="仿宋" w:eastAsia="仿宋"/>
          <w:sz w:val="32"/>
          <w:szCs w:val="32"/>
          <w:lang w:val="en-US" w:eastAsia="zh-CN"/>
        </w:rPr>
        <w:t>10.33</w:t>
      </w:r>
      <w:r>
        <w:rPr>
          <w:rFonts w:hint="eastAsia" w:ascii="仿宋" w:hAnsi="仿宋" w:eastAsia="仿宋"/>
          <w:sz w:val="32"/>
          <w:szCs w:val="32"/>
        </w:rPr>
        <w:t>%</w:t>
      </w:r>
      <w:r>
        <w:rPr>
          <w:rFonts w:hint="eastAsia" w:ascii="仿宋" w:hAnsi="仿宋" w:eastAsia="仿宋"/>
          <w:sz w:val="32"/>
          <w:szCs w:val="32"/>
          <w:lang w:eastAsia="zh-CN"/>
        </w:rPr>
        <w:t>。市第六届少数民族运动会专项资金</w:t>
      </w:r>
      <w:r>
        <w:rPr>
          <w:rFonts w:hint="eastAsia" w:ascii="仿宋" w:hAnsi="仿宋" w:eastAsia="仿宋"/>
          <w:sz w:val="32"/>
          <w:szCs w:val="32"/>
          <w:lang w:val="en-US" w:eastAsia="zh-CN"/>
        </w:rPr>
        <w:t>216.09万元</w:t>
      </w:r>
      <w:r>
        <w:rPr>
          <w:rFonts w:hint="eastAsia" w:ascii="仿宋" w:hAnsi="仿宋" w:eastAsia="仿宋"/>
          <w:sz w:val="32"/>
          <w:szCs w:val="32"/>
          <w:lang w:eastAsia="zh-CN"/>
        </w:rPr>
        <w:t>，占总支出的</w:t>
      </w:r>
      <w:r>
        <w:rPr>
          <w:rFonts w:hint="eastAsia" w:ascii="仿宋" w:hAnsi="仿宋" w:eastAsia="仿宋"/>
          <w:sz w:val="32"/>
          <w:szCs w:val="32"/>
          <w:lang w:val="en-US" w:eastAsia="zh-CN"/>
        </w:rPr>
        <w:t>19.58%。</w:t>
      </w:r>
      <w:r>
        <w:rPr>
          <w:rFonts w:hint="eastAsia" w:ascii="仿宋" w:hAnsi="仿宋" w:eastAsia="仿宋"/>
          <w:sz w:val="32"/>
          <w:szCs w:val="32"/>
          <w:lang w:eastAsia="zh-CN"/>
        </w:rPr>
        <w:t>省第十届少数民族运动会</w:t>
      </w:r>
      <w:r>
        <w:rPr>
          <w:rFonts w:hint="eastAsia" w:ascii="仿宋" w:hAnsi="仿宋" w:eastAsia="仿宋"/>
          <w:sz w:val="32"/>
          <w:szCs w:val="32"/>
          <w:lang w:val="en-US" w:eastAsia="zh-CN"/>
        </w:rPr>
        <w:t>100万元，占总支出的9.06%。创建全国民族团结进步示范市专项资金19.77万元，占总支出的1.79%。</w:t>
      </w:r>
      <w:r>
        <w:rPr>
          <w:rFonts w:hint="eastAsia" w:ascii="仿宋" w:hAnsi="仿宋" w:eastAsia="仿宋"/>
          <w:sz w:val="32"/>
          <w:szCs w:val="32"/>
          <w:lang w:eastAsia="zh-CN"/>
        </w:rPr>
        <w:t>专项资金</w:t>
      </w:r>
      <w:r>
        <w:rPr>
          <w:rFonts w:hint="eastAsia" w:ascii="仿宋" w:hAnsi="仿宋" w:eastAsia="仿宋"/>
          <w:sz w:val="32"/>
          <w:szCs w:val="32"/>
        </w:rPr>
        <w:t>省级少数民族专项补助</w:t>
      </w:r>
      <w:r>
        <w:rPr>
          <w:rFonts w:hint="eastAsia" w:ascii="仿宋" w:hAnsi="仿宋" w:eastAsia="仿宋"/>
          <w:sz w:val="32"/>
          <w:szCs w:val="32"/>
          <w:lang w:val="en-US" w:eastAsia="zh-CN"/>
        </w:rPr>
        <w:t>27</w:t>
      </w:r>
      <w:r>
        <w:rPr>
          <w:rFonts w:hint="eastAsia" w:ascii="仿宋" w:hAnsi="仿宋" w:eastAsia="仿宋"/>
          <w:sz w:val="32"/>
          <w:szCs w:val="32"/>
        </w:rPr>
        <w:t>万元，占总支出的</w:t>
      </w:r>
      <w:r>
        <w:rPr>
          <w:rFonts w:hint="eastAsia" w:ascii="仿宋" w:hAnsi="仿宋" w:eastAsia="仿宋"/>
          <w:sz w:val="32"/>
          <w:szCs w:val="32"/>
          <w:lang w:val="en-US" w:eastAsia="zh-CN"/>
        </w:rPr>
        <w:t>2.45</w:t>
      </w:r>
      <w:r>
        <w:rPr>
          <w:rFonts w:hint="eastAsia" w:ascii="仿宋" w:hAnsi="仿宋" w:eastAsia="仿宋"/>
          <w:sz w:val="32"/>
          <w:szCs w:val="32"/>
        </w:rPr>
        <w:t>%；</w:t>
      </w:r>
      <w:r>
        <w:rPr>
          <w:rFonts w:hint="eastAsia" w:ascii="仿宋" w:hAnsi="仿宋" w:eastAsia="仿宋"/>
          <w:sz w:val="32"/>
          <w:szCs w:val="32"/>
          <w:lang w:eastAsia="zh-CN"/>
        </w:rPr>
        <w:t>抗疫资金</w:t>
      </w:r>
      <w:r>
        <w:rPr>
          <w:rFonts w:hint="eastAsia" w:ascii="仿宋" w:hAnsi="仿宋" w:eastAsia="仿宋"/>
          <w:sz w:val="32"/>
          <w:szCs w:val="32"/>
          <w:lang w:val="en-US" w:eastAsia="zh-CN"/>
        </w:rPr>
        <w:t>2.2万元，占总支出的0.01%。</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580" w:lineRule="exact"/>
        <w:ind w:firstLine="643" w:firstLineChars="200"/>
        <w:jc w:val="both"/>
        <w:textAlignment w:val="auto"/>
        <w:rPr>
          <w:rFonts w:hint="eastAsia" w:ascii="黑体" w:hAnsi="黑体" w:eastAsia="黑体" w:cs="黑体"/>
          <w:b/>
          <w:sz w:val="32"/>
          <w:szCs w:val="32"/>
        </w:rPr>
      </w:pPr>
      <w:r>
        <w:rPr>
          <w:rFonts w:hint="eastAsia" w:ascii="黑体" w:hAnsi="黑体" w:eastAsia="黑体" w:cs="黑体"/>
          <w:b/>
          <w:sz w:val="32"/>
          <w:szCs w:val="32"/>
          <w:lang w:eastAsia="zh-CN"/>
        </w:rPr>
        <w:t>二、</w:t>
      </w:r>
      <w:r>
        <w:rPr>
          <w:rFonts w:hint="eastAsia" w:ascii="黑体" w:hAnsi="黑体" w:eastAsia="黑体" w:cs="黑体"/>
          <w:b/>
          <w:sz w:val="32"/>
          <w:szCs w:val="32"/>
        </w:rPr>
        <w:t>部门整体支出管理及使用情况</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3" w:firstLineChars="200"/>
        <w:jc w:val="both"/>
        <w:textAlignment w:val="auto"/>
        <w:rPr>
          <w:rFonts w:hint="eastAsia" w:ascii="仿宋_GB2312" w:hAnsi="仿宋" w:eastAsia="仿宋_GB2312" w:cs="Times New Roman"/>
          <w:sz w:val="32"/>
          <w:szCs w:val="32"/>
          <w:lang w:val="en-US" w:eastAsia="zh-CN"/>
        </w:rPr>
      </w:pPr>
      <w:r>
        <w:rPr>
          <w:rFonts w:hint="eastAsia" w:ascii="仿宋" w:hAnsi="仿宋" w:eastAsia="仿宋"/>
          <w:b/>
          <w:bCs/>
          <w:sz w:val="32"/>
          <w:szCs w:val="32"/>
          <w:lang w:val="en-US" w:eastAsia="zh-CN"/>
        </w:rPr>
        <w:t>单位工作开展情况及主要事业成效。</w:t>
      </w:r>
      <w:r>
        <w:rPr>
          <w:rFonts w:hint="eastAsia" w:ascii="仿宋" w:hAnsi="仿宋" w:eastAsia="仿宋"/>
          <w:sz w:val="32"/>
          <w:szCs w:val="32"/>
          <w:lang w:val="en-US" w:eastAsia="zh-CN"/>
        </w:rPr>
        <w:t>2022年，怀化市民族宗教事务局坚持以习近平新时代中</w:t>
      </w:r>
      <w:r>
        <w:rPr>
          <w:rFonts w:hint="eastAsia" w:ascii="仿宋_GB2312" w:hAnsi="仿宋" w:eastAsia="仿宋_GB2312" w:cs="Times New Roman"/>
          <w:sz w:val="32"/>
          <w:szCs w:val="32"/>
          <w:lang w:val="en-US" w:eastAsia="zh-CN"/>
        </w:rPr>
        <w:t>国特色社会主义思想为指导，认真学习贯彻党的二十大精神，全面落实中央民族工作会议、全国宗教工作会议和市委六届四次全会精神，始终围绕中心、服务大局，坚持以推动新时代民宗工作高质量发展为主题，持续开展铸牢中华民族共同体意识宣传教育，扎实推进民族团结进步创建，积极引导宗教与社会主义社会相适应，确保了全市民宗系统持续保持和谐和顺稳定，为深入实施“五新四城”战略，加快建设社会主义现代化新怀化作出了积极贡献，2022年工作成效如下：</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3" w:firstLineChars="200"/>
        <w:jc w:val="both"/>
        <w:textAlignment w:val="auto"/>
        <w:rPr>
          <w:rFonts w:hint="eastAsia" w:ascii="仿宋_GB2312" w:hAnsi="仿宋" w:eastAsia="仿宋_GB2312" w:cs="Times New Roman"/>
          <w:b/>
          <w:bCs/>
          <w:sz w:val="32"/>
          <w:szCs w:val="32"/>
          <w:lang w:val="en-US" w:eastAsia="zh-CN"/>
        </w:rPr>
      </w:pPr>
      <w:r>
        <w:rPr>
          <w:rFonts w:hint="eastAsia" w:ascii="仿宋_GB2312" w:hAnsi="仿宋" w:eastAsia="仿宋_GB2312" w:cs="Times New Roman"/>
          <w:b/>
          <w:bCs/>
          <w:sz w:val="32"/>
          <w:szCs w:val="32"/>
          <w:lang w:val="en-US" w:eastAsia="zh-CN"/>
        </w:rPr>
        <w:t>1、深入学习贯彻习近平新时代中国特色社会主义思想和党的二十大精神，忠诚拥护“两个确立”、坚决做到“两个维护”。</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2022年召开党组理论学习中心组会议11次、党组会议17次，第一时间传达学习习近平总书记系列重要讲话重要指示批示精神，带动全局党员干部持续强化党的创新理论武装，感悟思想伟力、汲取真理力量，推动学习贯彻习近平新时代中国特色社会主义思想往深里走、往心里走、往实里走。把深入学习党的二十大精神作为首要政治任务，先后召开党组（扩大）会议、全体干部职工会议传达学习贯彻党的二十大会议精神，组织开展专题学习3次，一体学习领会和贯彻落实大会报告、相关文件和习近平总书记系列重要讲话精神，确保党中央决策部署在怀化民宗系统落地落实。全市各级党校、社会主义学院、统战民宗系统共举办59期主题培训班，深入学习习近平总书记关于加强和改进民族工作重要思想和宗教工作重要论述，引导全市民宗系统党员干部忠诚拥护“两个确立”，增强“四个意识”、坚定“四个自信”、做到“两个维护”。</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3" w:firstLineChars="200"/>
        <w:jc w:val="both"/>
        <w:textAlignment w:val="auto"/>
        <w:rPr>
          <w:rFonts w:hint="eastAsia" w:ascii="仿宋_GB2312" w:hAnsi="仿宋" w:eastAsia="仿宋_GB2312" w:cs="Times New Roman"/>
          <w:b/>
          <w:bCs/>
          <w:sz w:val="32"/>
          <w:szCs w:val="32"/>
          <w:lang w:val="en-US" w:eastAsia="zh-CN"/>
        </w:rPr>
      </w:pPr>
      <w:r>
        <w:rPr>
          <w:rFonts w:hint="eastAsia" w:ascii="仿宋_GB2312" w:hAnsi="仿宋" w:eastAsia="仿宋_GB2312" w:cs="Times New Roman"/>
          <w:b/>
          <w:bCs/>
          <w:sz w:val="32"/>
          <w:szCs w:val="32"/>
          <w:lang w:val="en-US" w:eastAsia="zh-CN"/>
        </w:rPr>
        <w:t>2、铁肩担当夯实责任，当好参谋出台制度，全市民族宗教工作治理能力和水平上新台阶。</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1）深入贯彻落实中央民族工作会议和全国宗教工作会议精神，制定了两项任务清单。出台《关于贯彻落实中央、省委和市委民族工作会议精神重点任务分工方案》，围绕“五个着眼”和加强党对民族工作的全面领导等6大方面提出了20条硬措施；出台《关于贯彻落实全国、全省和全市宗教工作会议精神重点任务分工方案》，聚焦“六个着力”，将贯彻全国、全省和全市宗教工作会议精神细化分解为22项具体任务，推动中央民族工作会议和全国宗教工作会议精神在怀化落地生根、开花结果。</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（2）结合省民族、宗教工作实施意见，当好市委政府参谋助手，及时出台我市民族、宗教工作实施意见。</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3）绘就“十四五”民族工作蓝图，推动全市民族工作高质量发展。在全省各市州中首个开展民族工作“十四五”规划编制，出台了《怀化市民族工作“十四五”发展规划》，为“十四五”时期我市民族工作高质量发展锚定了方向、擘画了蓝图。</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4）扎实开展全省宗教行政执法改革试点市工作，取得显著成效。在十四五开局我市在全省率先成立县级宗教行政执法大队的基础上，多次赴省汇报，争取省民宗委将我市确定为“全省宗教行政执法改革试点市”。组建工作专班，在省民宗委、省司法厅的大力支持下，制定出台了《怀化市宗教执法队伍规范化建设标准》《怀化市宗教行政执法程序规定》等６个规范性文件手册文本，全面形成了宗教行政执法三大制度，成果已按程序报省民宗委，为我市宗教行政执法提供了法治保障和制度依据。</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5）强基固本，基层民宗干部能力水平不断提升。以民宗干部队伍素质提升为重点，制定印发了《怀化市民宗工作基层基础两年提升行动指导意见》，深入实施基层宗教干部和教职人员能力提升工程，分2批次组织基层宗教活动场所主要教职人员和基层宗教团体骨干参加“全省宗教界坚持我国宗教中国化方向培训班”，在市委党校开办基层民宗干部能力培训班，培训300余人次。</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3" w:firstLineChars="200"/>
        <w:jc w:val="both"/>
        <w:textAlignment w:val="auto"/>
        <w:rPr>
          <w:rFonts w:hint="eastAsia" w:ascii="仿宋_GB2312" w:hAnsi="仿宋" w:eastAsia="仿宋_GB2312" w:cs="Times New Roman"/>
          <w:b/>
          <w:bCs/>
          <w:sz w:val="32"/>
          <w:szCs w:val="32"/>
          <w:lang w:val="en-US" w:eastAsia="zh-CN"/>
        </w:rPr>
      </w:pPr>
      <w:r>
        <w:rPr>
          <w:rFonts w:hint="eastAsia" w:ascii="仿宋_GB2312" w:hAnsi="仿宋" w:eastAsia="仿宋_GB2312" w:cs="Times New Roman"/>
          <w:b/>
          <w:bCs/>
          <w:sz w:val="32"/>
          <w:szCs w:val="32"/>
          <w:lang w:val="en-US" w:eastAsia="zh-CN"/>
        </w:rPr>
        <w:t>3、以铸牢中华民族共同体意识为主线，全市新时代民族工作亮点纷呈。</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eastAsia="zh-CN"/>
        </w:rPr>
      </w:pPr>
      <w:r>
        <w:rPr>
          <w:rFonts w:hint="eastAsia" w:ascii="仿宋_GB2312" w:hAnsi="仿宋" w:eastAsia="仿宋_GB2312" w:cs="Times New Roman"/>
          <w:sz w:val="32"/>
          <w:szCs w:val="32"/>
          <w:lang w:val="en-US" w:eastAsia="zh-CN"/>
        </w:rPr>
        <w:t>（1）打造民族团结进步创建升级版。一是坚持高位推动。</w:t>
      </w:r>
      <w:r>
        <w:rPr>
          <w:rFonts w:hint="eastAsia" w:ascii="仿宋_GB2312" w:hAnsi="仿宋" w:eastAsia="仿宋_GB2312" w:cs="Times New Roman"/>
          <w:sz w:val="32"/>
          <w:szCs w:val="32"/>
          <w:lang w:eastAsia="zh-CN"/>
        </w:rPr>
        <w:t>将民族团结进步创建工作纳入经济社会发</w:t>
      </w:r>
      <w:r>
        <w:rPr>
          <w:rFonts w:hint="eastAsia" w:ascii="仿宋_GB2312" w:hAnsi="仿宋" w:eastAsia="仿宋_GB2312" w:cs="Times New Roman"/>
          <w:sz w:val="32"/>
          <w:szCs w:val="32"/>
        </w:rPr>
        <w:t>展总体规划，纳入市委统战工作领导小组年度计划</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先后召开市委民族工作会议、全市第七次民族团结进步表彰大会暨创建全国民族团结进步</w:t>
      </w:r>
      <w:r>
        <w:rPr>
          <w:rFonts w:hint="eastAsia" w:ascii="仿宋_GB2312" w:hAnsi="仿宋" w:eastAsia="仿宋_GB2312" w:cs="Times New Roman"/>
          <w:sz w:val="32"/>
          <w:szCs w:val="32"/>
          <w:lang w:eastAsia="zh-CN"/>
        </w:rPr>
        <w:t>示范</w:t>
      </w:r>
      <w:r>
        <w:rPr>
          <w:rFonts w:hint="eastAsia" w:ascii="仿宋_GB2312" w:hAnsi="仿宋" w:eastAsia="仿宋_GB2312" w:cs="Times New Roman"/>
          <w:sz w:val="32"/>
          <w:szCs w:val="32"/>
        </w:rPr>
        <w:t>市动员大会等会议，研究部署民族团结进步创建工作</w:t>
      </w:r>
      <w:r>
        <w:rPr>
          <w:rFonts w:hint="eastAsia" w:ascii="仿宋_GB2312" w:hAnsi="仿宋" w:eastAsia="仿宋_GB2312" w:cs="Times New Roman"/>
          <w:sz w:val="32"/>
          <w:szCs w:val="32"/>
          <w:lang w:eastAsia="zh-CN"/>
        </w:rPr>
        <w:t>，构建起市委高度重视，市人大、市政府、市政协几大家通力协作，市民宗部门主责主力，各级各部门积极参与的工作格局。二是强化组织保障。</w:t>
      </w:r>
      <w:r>
        <w:rPr>
          <w:rFonts w:hint="eastAsia" w:ascii="仿宋_GB2312" w:hAnsi="仿宋" w:eastAsia="仿宋_GB2312" w:cs="Times New Roman"/>
          <w:sz w:val="32"/>
          <w:szCs w:val="32"/>
        </w:rPr>
        <w:t>成立了由市委书记任第一组长，市长任组长的创建全国民族团结进步示范市工作领导小组，抽调精干力量组建创民工作专班，印发《怀化市创建全国民族团结进步示范市实施方案》，实现了创</w:t>
      </w:r>
      <w:r>
        <w:rPr>
          <w:rFonts w:hint="eastAsia" w:ascii="仿宋_GB2312" w:hAnsi="仿宋" w:eastAsia="仿宋_GB2312" w:cs="Times New Roman"/>
          <w:sz w:val="32"/>
          <w:szCs w:val="32"/>
          <w:lang w:eastAsia="zh-CN"/>
        </w:rPr>
        <w:t>民</w:t>
      </w:r>
      <w:r>
        <w:rPr>
          <w:rFonts w:hint="eastAsia" w:ascii="仿宋_GB2312" w:hAnsi="仿宋" w:eastAsia="仿宋_GB2312" w:cs="Times New Roman"/>
          <w:sz w:val="32"/>
          <w:szCs w:val="32"/>
        </w:rPr>
        <w:t>责任具体化、任务清单化、时间节点化</w:t>
      </w:r>
      <w:r>
        <w:rPr>
          <w:rFonts w:hint="eastAsia" w:ascii="仿宋_GB2312" w:hAnsi="仿宋" w:eastAsia="仿宋_GB2312" w:cs="Times New Roman"/>
          <w:sz w:val="32"/>
          <w:szCs w:val="32"/>
          <w:lang w:eastAsia="zh-CN"/>
        </w:rPr>
        <w:t>。三是实施全域创建。</w:t>
      </w:r>
      <w:r>
        <w:rPr>
          <w:rFonts w:hint="eastAsia" w:ascii="仿宋_GB2312" w:hAnsi="仿宋" w:eastAsia="仿宋_GB2312" w:cs="Times New Roman"/>
          <w:sz w:val="32"/>
          <w:szCs w:val="32"/>
          <w:lang w:val="en-US" w:eastAsia="zh-CN"/>
        </w:rPr>
        <w:t>在成功创成3个全国民族团结进步示范县、3个全省民族团结进步示范县的基础上，今年</w:t>
      </w:r>
      <w:r>
        <w:rPr>
          <w:rFonts w:hint="eastAsia" w:ascii="仿宋_GB2312" w:hAnsi="仿宋" w:eastAsia="仿宋_GB2312" w:cs="Times New Roman"/>
          <w:sz w:val="32"/>
          <w:szCs w:val="32"/>
          <w:lang w:eastAsia="zh-CN"/>
        </w:rPr>
        <w:t>沅陵顺利创成全省民族团结进步示范县，湖南医药学院、怀化市宏宇中学、鹤城区迎丰街道莲花池社区、滕代远同志纪念馆等</w:t>
      </w:r>
      <w:r>
        <w:rPr>
          <w:rFonts w:hint="eastAsia" w:ascii="仿宋_GB2312" w:hAnsi="仿宋" w:eastAsia="仿宋_GB2312" w:cs="Times New Roman"/>
          <w:sz w:val="32"/>
          <w:szCs w:val="32"/>
          <w:lang w:val="en-US" w:eastAsia="zh-CN"/>
        </w:rPr>
        <w:t>4</w:t>
      </w:r>
      <w:r>
        <w:rPr>
          <w:rFonts w:hint="eastAsia" w:ascii="仿宋_GB2312" w:hAnsi="仿宋" w:eastAsia="仿宋_GB2312" w:cs="Times New Roman"/>
          <w:sz w:val="32"/>
          <w:szCs w:val="32"/>
          <w:lang w:eastAsia="zh-CN"/>
        </w:rPr>
        <w:t>家单位成功获评“全省民族团结进步示范单位、基地”。这些工作作为创造全国民族团结进步示范市的重要内容，从创民经费中</w:t>
      </w:r>
      <w:r>
        <w:rPr>
          <w:rFonts w:hint="eastAsia" w:ascii="仿宋_GB2312" w:hAnsi="仿宋" w:eastAsia="仿宋_GB2312" w:cs="Times New Roman"/>
          <w:sz w:val="32"/>
          <w:szCs w:val="32"/>
          <w:lang w:val="en-US" w:eastAsia="zh-CN"/>
        </w:rPr>
        <w:t>19.77万元中进行</w:t>
      </w:r>
      <w:r>
        <w:rPr>
          <w:rFonts w:hint="eastAsia" w:ascii="仿宋_GB2312" w:hAnsi="仿宋" w:eastAsia="仿宋_GB2312" w:cs="Times New Roman"/>
          <w:sz w:val="32"/>
          <w:szCs w:val="32"/>
          <w:lang w:eastAsia="zh-CN"/>
        </w:rPr>
        <w:t>开支。</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eastAsia="zh-CN"/>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2</w:t>
      </w:r>
      <w:r>
        <w:rPr>
          <w:rFonts w:hint="eastAsia" w:ascii="仿宋_GB2312" w:hAnsi="仿宋" w:eastAsia="仿宋_GB2312" w:cs="Times New Roman"/>
          <w:sz w:val="32"/>
          <w:szCs w:val="32"/>
          <w:lang w:eastAsia="zh-CN"/>
        </w:rPr>
        <w:t>）推动中华民族共同体意识深入人心。一是</w:t>
      </w:r>
      <w:r>
        <w:rPr>
          <w:rFonts w:hint="eastAsia" w:ascii="仿宋_GB2312" w:hAnsi="仿宋" w:eastAsia="仿宋_GB2312" w:cs="Times New Roman"/>
          <w:sz w:val="32"/>
          <w:szCs w:val="32"/>
          <w:lang w:val="en-US" w:eastAsia="zh-CN"/>
        </w:rPr>
        <w:t>建立健全中华民族共同体意识常态化宣传教育机制。深入开展铸牢中华民族共同体意识主题演讲、文化汇演、宣传宣讲、参观展示等系列活动，全市上下通过手机短信、电子显示屏、广播电台、出租车广告顶灯屏等平台开展铸牢</w:t>
      </w:r>
      <w:r>
        <w:rPr>
          <w:rFonts w:hint="eastAsia" w:ascii="仿宋_GB2312" w:hAnsi="仿宋" w:eastAsia="仿宋_GB2312" w:cs="Times New Roman"/>
          <w:sz w:val="32"/>
          <w:szCs w:val="32"/>
          <w:lang w:eastAsia="zh-CN"/>
        </w:rPr>
        <w:t>中华民族共同体意识</w:t>
      </w:r>
      <w:r>
        <w:rPr>
          <w:rFonts w:hint="eastAsia" w:ascii="仿宋_GB2312" w:hAnsi="仿宋" w:eastAsia="仿宋_GB2312" w:cs="Times New Roman"/>
          <w:sz w:val="32"/>
          <w:szCs w:val="32"/>
          <w:lang w:val="en-US" w:eastAsia="zh-CN"/>
        </w:rPr>
        <w:t>全覆盖宣传教育，引导各族群众像石榴籽一样紧紧抱在一起。二是扎实推动铸牢中华民族共同体意识文化元素工程落地落实。按照打造一批主题公园广场、开通一条公交专线、建设一批文化展馆等“五个一”要求，开通了铸牢中华民族共同体意识“民族团结进步”公交专线，设置47个站点，切实满足了主城区各族群众的乘客需求，加快推进怀化市民族博物馆建设，五溪民族广场、市政府广场等２个创民文化元素落地工程正在抢抓施工建设中。三是充分发挥示范引领带动作用。充分挖掘、选树、用好先进典型，深入开展了“三基地一示范”模范单位和民族团结进步先进单位评比表彰活动，评比表彰了93个先进单位，起到“表彰一批、激励一方、带动一片”的良好效应。</w:t>
      </w:r>
      <w:r>
        <w:rPr>
          <w:rFonts w:hint="eastAsia" w:ascii="仿宋_GB2312" w:hAnsi="仿宋" w:eastAsia="仿宋_GB2312" w:cs="Times New Roman"/>
          <w:sz w:val="32"/>
          <w:szCs w:val="32"/>
          <w:lang w:eastAsia="zh-CN"/>
        </w:rPr>
        <w:t>这些工作作为创造全国民族团结进步示范市的重要内容，从创民经费中</w:t>
      </w:r>
      <w:r>
        <w:rPr>
          <w:rFonts w:hint="eastAsia" w:ascii="仿宋_GB2312" w:hAnsi="仿宋" w:eastAsia="仿宋_GB2312" w:cs="Times New Roman"/>
          <w:sz w:val="32"/>
          <w:szCs w:val="32"/>
          <w:lang w:val="en-US" w:eastAsia="zh-CN"/>
        </w:rPr>
        <w:t>19.77万元中进行</w:t>
      </w:r>
      <w:r>
        <w:rPr>
          <w:rFonts w:hint="eastAsia" w:ascii="仿宋_GB2312" w:hAnsi="仿宋" w:eastAsia="仿宋_GB2312" w:cs="Times New Roman"/>
          <w:sz w:val="32"/>
          <w:szCs w:val="32"/>
          <w:lang w:eastAsia="zh-CN"/>
        </w:rPr>
        <w:t>开支。</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3）全面落实民族区域发展政策。争取到2022年中央、省级财政衔接推进乡村振兴补助资金（少数民族发展任务）4264万元，获批全省第二批民族乡村振兴试点单位7家，为全市17981名各民族考生落实高考优惠加分政策。全面落实民贸民品贴息优惠政策，推荐上报“十四五”时期民品企业15家，发放中央财政贴息引导资金1100万元。积极开展“四明白四清楚”大调研行动，组织全市民宗系统干部职工深入基层调查研究，形成了一批调研成果，为民族地区发展献计献策。这些工作成效主要是使用了调研培训经费3.3万元作调研差旅所用，不足使用部分，用少数民族工作专项经费开支了招待费，差旅费等共计7万元。</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4）促进各民族广泛交往交流交融。一是搭建平台促“三交”。积极推进“同根同源、同心共筑中华梦”湘台少数民族文化交流暨“遇见非遗”湘台非物质文化创意系列活动，支持芷江侗族自治县申报海峡两岸少数民族交流与合作基地取得显著成效，有望2023年初正式获国家批准。二是开展活动促“三交”。成功举办怀化市第六届少数民族传统体育运动会，创作民族团结进步歌曲《石榴红了》和吉祥物“石榴籽”，全市3000余名少数民族运动员代表、工作人员和各族群众共襄盛会，得到市委市政府主要领导充分肯定，取得了良好的社会反响。这项工作使用了市第六届少数民族运动会专项资金216.09万元。并组队参加了省第九届少数民族运动会，这项工作使用了省第九届少数民族运动会专项资金100万元。组织两名选手参加湖南省第八届“铸牢中华民族共同体意识 建设伟大祖国 建设美丽家乡”主题演讲比赛，分别荣获二等奖、三等奖。这项工作使用少数民族工作专项经费2万元.三是强化服务促“三交”。建立民族工作服务站，为少数民族流动人口提供信息咨询、政策解答、法治宣传、法律咨询等服务，引导来怀少数民族群众牢固树立“四个与共”的共同体理念。全力做好援疆援藏工作。给对口援藏地区山南县3万元的援藏经费。同时从少数民族工作专项经费中下拨30万元用于解决少数民族地区及本单位乡村振兴帮扶少数民族村的“急，难，愁，盼”，促“三交”。</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3" w:firstLineChars="200"/>
        <w:jc w:val="both"/>
        <w:textAlignment w:val="auto"/>
        <w:rPr>
          <w:rFonts w:hint="eastAsia" w:ascii="仿宋_GB2312" w:hAnsi="仿宋" w:eastAsia="仿宋_GB2312" w:cs="Times New Roman"/>
          <w:b/>
          <w:bCs/>
          <w:sz w:val="32"/>
          <w:szCs w:val="32"/>
          <w:lang w:val="en-US" w:eastAsia="zh-CN"/>
        </w:rPr>
      </w:pPr>
      <w:r>
        <w:rPr>
          <w:rFonts w:hint="eastAsia" w:ascii="仿宋_GB2312" w:hAnsi="仿宋" w:eastAsia="仿宋_GB2312" w:cs="Times New Roman"/>
          <w:b/>
          <w:bCs/>
          <w:sz w:val="32"/>
          <w:szCs w:val="32"/>
          <w:lang w:val="en-US" w:eastAsia="zh-CN"/>
        </w:rPr>
        <w:t>4、坚持宗教中国化方向，不断开创宗教工作新局面。</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1）积极引导宗教与社会主义社会相适应。一是加强宣传教育。指导宗教界弘扬中华优秀传统文化和社会主义核心价值观，深入开展“爱党爱国爱社会主义”主题教育和“五进五好”活动，制定出台了《关于在全市宗教界开展“五进五好”活动评比表彰方案》，评比授牌了一批示范单位，表彰了一批先进个人。二是加强宗教团体建设。在全省创造性出台《宗教团体换届工作指导意见》，精心组织县市区宗教团体换届工作，目前辰溪县佛教协会已完成换届，芷江、沅陵、洪江市、中方等４个县市区宗教团体换届工作已完成联合审查、组织考察。以上工作所发生的相关费用：活动开支，差旅费等都是从宗家事务专项经费中开支的。</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不断提升宗教工作治理能力和水平。一是扎实推进宗教工作三级网络、两级责任制建设。建立了县有民宗部门主管，乡（镇）有分管领导及宗教工作专干主责，村有信息员、协理员主抓的三级网络管理体系，并按每人每月不少于100元的标准为村“两员”发放工作经费。二是着力夯实基层基础。在建立健全市县两级宗教活动场所、网格化管理等五大台账的基础上，2022年增加了宗教活动场所综合台账和宗教场所安全维稳２大台账。三是积极开展示范创建。积极做好首届全国宗教界先进集体和先进个人评选推荐工作，溆浦县水东玉皇宫获评“全国宗教界先进集体”。</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3）支持宗教界全面从严治教。尊重和发挥宗教团体在宗教内部事务中的作用，组织指导宗教界深入开展崇俭戒奢排查整治。规范教职人员认定备案，把好“入口关”，督促市佛协道协开展好全市佛教道教活动场所常住人员登记调研。组织对宗教活动场所陈列物开展仔细排查，加强宗教界讲经活动规范管理。指导全市性宗教团体完善章程和各项教内制度，探索</w:t>
      </w:r>
      <w:r>
        <w:rPr>
          <w:rFonts w:hint="eastAsia" w:ascii="仿宋_GB2312" w:hAnsi="仿宋" w:eastAsia="仿宋_GB2312" w:cs="Times New Roman"/>
          <w:sz w:val="32"/>
          <w:szCs w:val="32"/>
          <w:lang w:val="zh-CN" w:eastAsia="zh-CN"/>
        </w:rPr>
        <w:t>建立宗教团体领导班子成员的民主监督、违规犯戒教职人员退出、主要教职人员监督考核、宗教活动场所财务管理等配套制度。</w:t>
      </w:r>
      <w:r>
        <w:rPr>
          <w:rFonts w:hint="eastAsia" w:ascii="仿宋_GB2312" w:hAnsi="仿宋" w:eastAsia="仿宋_GB2312" w:cs="Times New Roman"/>
          <w:sz w:val="32"/>
          <w:szCs w:val="32"/>
          <w:lang w:val="en-US" w:eastAsia="zh-CN"/>
        </w:rPr>
        <w:t>深入开展联谊交友活动，与宗教界人士谈心交友和走访慰问近百人次。给四大教派支付了相关的办公经费6万元，宗教团体负责人的生活补助4.8，宗教团体的换届费用6万元等都是都是从宗教事务经费中开支的。</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3" w:firstLineChars="200"/>
        <w:jc w:val="both"/>
        <w:textAlignment w:val="auto"/>
        <w:rPr>
          <w:rFonts w:hint="eastAsia" w:ascii="仿宋_GB2312" w:hAnsi="仿宋" w:eastAsia="仿宋_GB2312" w:cs="Times New Roman"/>
          <w:b/>
          <w:bCs/>
          <w:sz w:val="32"/>
          <w:szCs w:val="32"/>
          <w:lang w:val="en-US" w:eastAsia="zh-CN"/>
        </w:rPr>
      </w:pPr>
      <w:r>
        <w:rPr>
          <w:rFonts w:hint="eastAsia" w:ascii="仿宋_GB2312" w:hAnsi="仿宋" w:eastAsia="仿宋_GB2312" w:cs="Times New Roman"/>
          <w:b/>
          <w:bCs/>
          <w:sz w:val="32"/>
          <w:szCs w:val="32"/>
          <w:lang w:val="en-US" w:eastAsia="zh-CN"/>
        </w:rPr>
        <w:t>5、树牢总体国家安全观，坚决防范化解民族宗教领域风险隐患。</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（1）集中排查化解涉稳风险隐患。相关的差旅费等费用从宗教事务经费中开支的。</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（2）持续整治非法遏制渗透。相关的差旅费等费用从宗教事务经费中开支的。</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3）抓牢抓实民宗领域安全生产工作。先后组织开展了岁末年初安全生产百日大会战、消防安全风险隐患“大排查大整治大管控”行动、全市民宗系统燃气安全排查整治、宗教领域安全生产排查整治行动、“五一”节前全市民宗领域安全生产大检查活动、安全生产大检查“百日攻坚”行动、自建房安全专项整治、全市宗教活动场所地质灾害隐患排查整治、宗教领域安全生产大检查、深入排查潜在风险隐患坚决防范遏制重特大事故行动等，截止目前，全市共排查场所2971场次，发现风险隐患249个，下达整改通知230份，关停场所45处，已整治风险隐患248个，剩余1个风险点已明确整改措施、整改落实责任人和整改时限。给相关的宗教场所下拨宗教场所维修资金4万元，从宗教事务经费中开支。</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（4）深入推进反恐怖反分裂斗争。</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3" w:firstLineChars="200"/>
        <w:jc w:val="both"/>
        <w:textAlignment w:val="auto"/>
        <w:rPr>
          <w:rFonts w:hint="eastAsia" w:ascii="仿宋_GB2312" w:hAnsi="仿宋" w:eastAsia="仿宋_GB2312" w:cs="Times New Roman"/>
          <w:b/>
          <w:bCs/>
          <w:sz w:val="32"/>
          <w:szCs w:val="32"/>
          <w:lang w:val="en-US" w:eastAsia="zh-CN"/>
        </w:rPr>
      </w:pPr>
      <w:r>
        <w:rPr>
          <w:rFonts w:hint="eastAsia" w:ascii="仿宋_GB2312" w:hAnsi="仿宋" w:eastAsia="仿宋_GB2312" w:cs="Times New Roman"/>
          <w:b/>
          <w:bCs/>
          <w:sz w:val="32"/>
          <w:szCs w:val="32"/>
          <w:lang w:val="en-US" w:eastAsia="zh-CN"/>
        </w:rPr>
        <w:t>6、纵深推进全面从严治党，着力营造风清气正的良好政治生态。</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1）围绕中心抓好机关党建。统筹抓好发展第一要务和落实党建第一责任，党组会议听取党建工作情况汇报３次，及时研究解决党建工作的重点难题问题。严格落实重大事项请示报告制度，以党组名义向市委请示报告12次。落实落细“三会一课”、主题党日、公开承诺、民主评议等制度，局党组书记上党课３次、支部书记上专题党课１次；开展“光影铸魂”电影党课活动５次；开展交通劝导、无物业小区卫生清扫等志愿服务活动13次；结对共建鹤洲社区，签署合作共建协议，支部书记到社区上党课１次，走访慰问社区困难党员３人。组织全体党员重温入党誓词、集体过“政治生日”、集中收看收听党的二十大实况直播并开展讨论，增强了党的意识和党员意识。认真落实党中央关于“疫情要防住、经济要稳住、发展要安全”要求，市民宗局党员干部于3.17、10.17、11.22三次全员下沉社区，全力支持疫情防控，实现了结对帮扶小区“零感染、零传播”。</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扎实推进党风廉政建设。把党风廉政建设与民宗中心工作同研究、同部署、同落实，党组班子成员严格落实“一岗双责”，定期与分管部门的主要负责人谈心谈话，并对分管部门的党风廉政建设开展督促检查，层层压实“两个责任”，形成了“横向到边、纵向到底、齐抓共管”的工作责任体系。全年召开党组会议５次研究党风廉政建设工作，制定出台《怀化市民宗局党组2022年落实全面从严治党主体责任工作任务清单》。制定了《怀化市民宗局清廉机关建设实施方案》《市民宗局清廉机关建设重点工作任务清单》，全力创建“清廉机关”，延伸推进宗教领域“清廉单元”建设，保障全市宗教领域风清气正。</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3）加强干部队伍建设。坚持正确选人用人导向，注重实干实效，用好考核标尺，畅通晋升渠道，通过遴选方式调入２名90后年轻干部，在班子成员中推荐晋升一级调研员１人、向外单位推荐交流１人，推荐进一步重用１人。深入开展“三整顿两提升”干部作风建设专项活动，完成了一次专题讨论、一次批评与自我批评会议、一篇心得体会、开列一张问题清单、一张“我为二次创业作贡献”工作提示，切实推动干部队伍思想大解放、作风大转变。开展了3批次互联网宗教信息审核员学习培训和考试，61人通过考核并取得相关资格证书，培养和储备了一批精通马克思主义宗教观、熟悉宗教工作、互联网思维较强的宗教领域人才队伍。</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default" w:eastAsia="宋体"/>
          <w:sz w:val="32"/>
          <w:szCs w:val="32"/>
          <w:lang w:val="en-US" w:eastAsia="zh-CN"/>
        </w:rPr>
      </w:pPr>
      <w:r>
        <w:rPr>
          <w:rFonts w:hint="eastAsia" w:ascii="仿宋_GB2312" w:hAnsi="仿宋" w:eastAsia="仿宋_GB2312" w:cs="Times New Roman"/>
          <w:sz w:val="32"/>
          <w:szCs w:val="32"/>
          <w:lang w:val="en-US" w:eastAsia="zh-CN"/>
        </w:rPr>
        <w:t>（4）严格落实意识形态和网络意识形态工作责任制度。</w:t>
      </w:r>
    </w:p>
    <w:p>
      <w:pPr>
        <w:keepNext w:val="0"/>
        <w:keepLines w:val="0"/>
        <w:pageBreakBefore w:val="0"/>
        <w:widowControl/>
        <w:kinsoku/>
        <w:wordWrap/>
        <w:overflowPunct/>
        <w:topLinePunct w:val="0"/>
        <w:autoSpaceDE/>
        <w:autoSpaceDN/>
        <w:bidi w:val="0"/>
        <w:spacing w:beforeAutospacing="0" w:after="0" w:afterAutospacing="0" w:line="580" w:lineRule="exact"/>
        <w:ind w:firstLine="600"/>
        <w:jc w:val="both"/>
        <w:textAlignment w:val="auto"/>
        <w:rPr>
          <w:rFonts w:ascii="黑体" w:hAnsi="黑体" w:eastAsia="黑体" w:cs="黑体"/>
          <w:sz w:val="32"/>
          <w:szCs w:val="32"/>
        </w:rPr>
      </w:pPr>
      <w:r>
        <w:rPr>
          <w:rFonts w:hint="eastAsia" w:ascii="黑体" w:hAnsi="黑体" w:eastAsia="黑体" w:cs="黑体"/>
          <w:sz w:val="32"/>
          <w:szCs w:val="32"/>
        </w:rPr>
        <w:t>（一）基本支出</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基本支出包括人员经费（包括在职职工的工资福利支出和对个人和家庭的补助支出）和日常公用经费两部分。</w:t>
      </w:r>
      <w:r>
        <w:rPr>
          <w:rFonts w:hint="eastAsia" w:ascii="仿宋_GB2312" w:hAnsi="仿宋_GB2312" w:eastAsia="仿宋_GB2312" w:cs="仿宋_GB2312"/>
          <w:sz w:val="32"/>
          <w:szCs w:val="32"/>
          <w:lang w:eastAsia="zh-CN"/>
        </w:rPr>
        <w:t>主要用于在职职工的工资福利，及保障机关运转的各项办公经费包括办公费，邮电费，差旅费，招待费，劳务费，水电费其他商品和服务支出等。</w:t>
      </w:r>
      <w:r>
        <w:rPr>
          <w:rFonts w:hint="eastAsia" w:ascii="仿宋_GB2312" w:hAnsi="仿宋_GB2312" w:eastAsia="仿宋_GB2312" w:cs="仿宋_GB2312"/>
          <w:sz w:val="32"/>
          <w:szCs w:val="32"/>
        </w:rPr>
        <w:t>基本支出都是严格按照财务管理制度及相关规定办理支付。对“三公”经费的管理和使用，</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单位严格按照中央八项规定、省委九项规定的要求，出台了《关于加强市民宗局</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厉行节约的通知》。对出国（境）费、公务接待费、车辆运行费及会议费进行了详细的规范，从范围、标准等方面作了具体的明确规定，从严把关。</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0" w:afterAutospacing="0" w:line="580" w:lineRule="exact"/>
        <w:ind w:firstLine="643" w:firstLineChars="200"/>
        <w:jc w:val="both"/>
        <w:textAlignment w:val="auto"/>
        <w:rPr>
          <w:rFonts w:hint="eastAsia" w:ascii="仿宋" w:hAnsi="仿宋" w:eastAsia="仿宋"/>
          <w:b/>
          <w:bCs/>
          <w:sz w:val="32"/>
          <w:szCs w:val="32"/>
        </w:rPr>
      </w:pPr>
      <w:r>
        <w:rPr>
          <w:rFonts w:hint="eastAsia" w:ascii="仿宋" w:hAnsi="仿宋" w:eastAsia="仿宋"/>
          <w:b/>
          <w:bCs/>
          <w:sz w:val="32"/>
          <w:szCs w:val="32"/>
        </w:rPr>
        <w:t>“三公”经费支出情况。</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“三公”经费总额</w:t>
      </w:r>
      <w:r>
        <w:rPr>
          <w:rFonts w:hint="eastAsia" w:ascii="仿宋_GB2312" w:hAnsi="仿宋_GB2312" w:eastAsia="仿宋_GB2312" w:cs="仿宋_GB2312"/>
          <w:sz w:val="32"/>
          <w:szCs w:val="32"/>
          <w:lang w:val="en-US" w:eastAsia="zh-CN"/>
        </w:rPr>
        <w:t>28.72</w:t>
      </w:r>
      <w:r>
        <w:rPr>
          <w:rFonts w:hint="eastAsia" w:ascii="仿宋_GB2312" w:hAnsi="仿宋_GB2312" w:eastAsia="仿宋_GB2312" w:cs="仿宋_GB2312"/>
          <w:sz w:val="32"/>
          <w:szCs w:val="32"/>
        </w:rPr>
        <w:t>万元，其中公务用车运行维护费</w:t>
      </w:r>
      <w:r>
        <w:rPr>
          <w:rFonts w:hint="eastAsia" w:ascii="仿宋_GB2312" w:hAnsi="仿宋_GB2312" w:eastAsia="仿宋_GB2312" w:cs="仿宋_GB2312"/>
          <w:sz w:val="32"/>
          <w:szCs w:val="32"/>
          <w:lang w:val="en-US" w:eastAsia="zh-CN"/>
        </w:rPr>
        <w:t>5.03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公车购置费</w:t>
      </w:r>
      <w:r>
        <w:rPr>
          <w:rFonts w:hint="eastAsia" w:ascii="仿宋_GB2312" w:hAnsi="仿宋_GB2312" w:eastAsia="仿宋_GB2312" w:cs="仿宋_GB2312"/>
          <w:sz w:val="32"/>
          <w:szCs w:val="32"/>
          <w:lang w:val="en-US" w:eastAsia="zh-CN"/>
        </w:rPr>
        <w:t>20.05万元（为年中调整预算）。</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3.64</w:t>
      </w:r>
      <w:r>
        <w:rPr>
          <w:rFonts w:hint="eastAsia" w:ascii="仿宋_GB2312" w:hAnsi="仿宋_GB2312" w:eastAsia="仿宋_GB2312" w:cs="仿宋_GB2312"/>
          <w:sz w:val="32"/>
          <w:szCs w:val="32"/>
        </w:rPr>
        <w:t>万元。总额与年初预算数总额</w:t>
      </w:r>
      <w:r>
        <w:rPr>
          <w:rFonts w:hint="eastAsia" w:ascii="仿宋_GB2312" w:hAnsi="仿宋_GB2312" w:eastAsia="仿宋_GB2312" w:cs="仿宋_GB2312"/>
          <w:sz w:val="32"/>
          <w:szCs w:val="32"/>
          <w:lang w:val="en-US" w:eastAsia="zh-CN"/>
        </w:rPr>
        <w:t>11.34万元</w:t>
      </w:r>
      <w:r>
        <w:rPr>
          <w:rFonts w:hint="eastAsia" w:ascii="仿宋_GB2312" w:hAnsi="仿宋_GB2312" w:eastAsia="仿宋_GB2312" w:cs="仿宋_GB2312"/>
          <w:sz w:val="32"/>
          <w:szCs w:val="32"/>
        </w:rPr>
        <w:t>相比：</w:t>
      </w:r>
      <w:r>
        <w:rPr>
          <w:rFonts w:hint="eastAsia" w:ascii="仿宋_GB2312" w:hAnsi="仿宋_GB2312" w:eastAsia="仿宋_GB2312" w:cs="仿宋_GB2312"/>
          <w:sz w:val="32"/>
          <w:szCs w:val="32"/>
          <w:lang w:eastAsia="zh-CN"/>
        </w:rPr>
        <w:t>节约</w:t>
      </w:r>
      <w:r>
        <w:rPr>
          <w:rFonts w:hint="eastAsia" w:ascii="仿宋_GB2312" w:hAnsi="仿宋_GB2312" w:eastAsia="仿宋_GB2312" w:cs="仿宋_GB2312"/>
          <w:sz w:val="32"/>
          <w:szCs w:val="32"/>
          <w:lang w:val="en-US" w:eastAsia="zh-CN"/>
        </w:rPr>
        <w:t>2.67</w:t>
      </w:r>
      <w:r>
        <w:rPr>
          <w:rFonts w:hint="eastAsia" w:ascii="仿宋_GB2312" w:hAnsi="仿宋_GB2312" w:eastAsia="仿宋_GB2312" w:cs="仿宋_GB2312"/>
          <w:sz w:val="32"/>
          <w:szCs w:val="32"/>
        </w:rPr>
        <w:t>万元，节约</w:t>
      </w:r>
      <w:r>
        <w:rPr>
          <w:rFonts w:hint="eastAsia" w:ascii="仿宋_GB2312" w:hAnsi="仿宋_GB2312" w:eastAsia="仿宋_GB2312" w:cs="仿宋_GB2312"/>
          <w:sz w:val="32"/>
          <w:szCs w:val="32"/>
          <w:lang w:val="en-US" w:eastAsia="zh-CN"/>
        </w:rPr>
        <w:t>23.54</w:t>
      </w:r>
      <w:r>
        <w:rPr>
          <w:rFonts w:hint="eastAsia" w:ascii="仿宋_GB2312" w:hAnsi="仿宋_GB2312" w:eastAsia="仿宋_GB2312" w:cs="仿宋_GB2312"/>
          <w:sz w:val="32"/>
          <w:szCs w:val="32"/>
        </w:rPr>
        <w:t>%。其中公务用车运行维护费与年初预算数相比</w:t>
      </w:r>
      <w:r>
        <w:rPr>
          <w:rFonts w:hint="eastAsia" w:ascii="仿宋_GB2312" w:hAnsi="仿宋_GB2312" w:eastAsia="仿宋_GB2312" w:cs="仿宋_GB2312"/>
          <w:sz w:val="32"/>
          <w:szCs w:val="32"/>
          <w:lang w:eastAsia="zh-CN"/>
        </w:rPr>
        <w:t>节约</w:t>
      </w:r>
      <w:r>
        <w:rPr>
          <w:rFonts w:hint="eastAsia" w:ascii="仿宋_GB2312" w:hAnsi="仿宋_GB2312" w:eastAsia="仿宋_GB2312" w:cs="仿宋_GB2312"/>
          <w:sz w:val="32"/>
          <w:szCs w:val="32"/>
          <w:lang w:val="en-US" w:eastAsia="zh-CN"/>
        </w:rPr>
        <w:t>0.01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节约</w:t>
      </w:r>
      <w:r>
        <w:rPr>
          <w:rFonts w:hint="eastAsia" w:ascii="仿宋_GB2312" w:hAnsi="仿宋_GB2312" w:eastAsia="仿宋_GB2312" w:cs="仿宋_GB2312"/>
          <w:sz w:val="32"/>
          <w:szCs w:val="32"/>
          <w:lang w:val="en-US" w:eastAsia="zh-CN"/>
        </w:rPr>
        <w:t>0.01%</w:t>
      </w:r>
      <w:r>
        <w:rPr>
          <w:rFonts w:hint="eastAsia" w:ascii="仿宋_GB2312" w:hAnsi="仿宋_GB2312" w:eastAsia="仿宋_GB2312" w:cs="仿宋_GB2312"/>
          <w:sz w:val="32"/>
          <w:szCs w:val="32"/>
        </w:rPr>
        <w:t>；公务接待费与年初预算数相比节</w:t>
      </w:r>
      <w:r>
        <w:rPr>
          <w:rFonts w:hint="eastAsia" w:ascii="仿宋_GB2312" w:hAnsi="仿宋_GB2312" w:eastAsia="仿宋_GB2312" w:cs="仿宋_GB2312"/>
          <w:sz w:val="32"/>
          <w:szCs w:val="32"/>
          <w:lang w:eastAsia="zh-CN"/>
        </w:rPr>
        <w:t>约</w:t>
      </w:r>
      <w:r>
        <w:rPr>
          <w:rFonts w:hint="eastAsia" w:ascii="仿宋_GB2312" w:hAnsi="仿宋_GB2312" w:eastAsia="仿宋_GB2312" w:cs="仿宋_GB2312"/>
          <w:sz w:val="32"/>
          <w:szCs w:val="32"/>
          <w:lang w:val="en-US" w:eastAsia="zh-CN"/>
        </w:rPr>
        <w:t>2.66</w:t>
      </w:r>
      <w:r>
        <w:rPr>
          <w:rFonts w:hint="eastAsia" w:ascii="仿宋_GB2312" w:hAnsi="仿宋_GB2312" w:eastAsia="仿宋_GB2312" w:cs="仿宋_GB2312"/>
          <w:sz w:val="32"/>
          <w:szCs w:val="32"/>
        </w:rPr>
        <w:t>万元，节约</w:t>
      </w:r>
      <w:r>
        <w:rPr>
          <w:rFonts w:hint="eastAsia" w:ascii="仿宋_GB2312" w:hAnsi="仿宋_GB2312" w:eastAsia="仿宋_GB2312" w:cs="仿宋_GB2312"/>
          <w:sz w:val="32"/>
          <w:szCs w:val="32"/>
          <w:lang w:val="en-US" w:eastAsia="zh-CN"/>
        </w:rPr>
        <w:t>42.22</w:t>
      </w:r>
      <w:r>
        <w:rPr>
          <w:rFonts w:hint="eastAsia" w:ascii="仿宋_GB2312" w:hAnsi="仿宋_GB2312" w:eastAsia="仿宋_GB2312" w:cs="仿宋_GB2312"/>
          <w:sz w:val="32"/>
          <w:szCs w:val="32"/>
        </w:rPr>
        <w:t>%，原因是厉行勤俭节约，杜绝不必要的接待。</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eastAsia="zh-CN"/>
        </w:rPr>
        <w:t>本年度公务接待费</w:t>
      </w:r>
      <w:r>
        <w:rPr>
          <w:rFonts w:hint="eastAsia" w:ascii="仿宋_GB2312" w:hAnsi="仿宋" w:eastAsia="仿宋_GB2312" w:cs="仿宋"/>
          <w:color w:val="000000"/>
          <w:sz w:val="32"/>
          <w:szCs w:val="32"/>
          <w:lang w:val="en-US" w:eastAsia="zh-CN"/>
        </w:rPr>
        <w:t>3.64万元，公务用车运行维护费5.03万元，公车购置费20.05万元。合计28.72万元，与上年度对比，公务接待费增长0.22万元元，增长6.46%，原因是本年度公务活动较去年多。公务用车运行维护费增长0.51万元，增长11.29%，原因是本年度工作任务重，公务用车使用较去年多。本年度新增公务用车1台，账面公务用车2台，实际使用只有1台，另一台已上交机关事务局公车平台，手续还在办理过程中。无因公出国出境组团及人数。</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 w:hAnsi="仿宋" w:eastAsia="仿宋"/>
          <w:b/>
          <w:bCs/>
          <w:sz w:val="32"/>
          <w:szCs w:val="32"/>
          <w:lang w:val="en-US" w:eastAsia="zh-CN"/>
        </w:rPr>
        <w:t>2、</w:t>
      </w:r>
      <w:r>
        <w:rPr>
          <w:rFonts w:hint="eastAsia" w:ascii="仿宋" w:hAnsi="仿宋" w:eastAsia="仿宋"/>
          <w:b/>
          <w:bCs/>
          <w:sz w:val="32"/>
          <w:szCs w:val="32"/>
        </w:rPr>
        <w:t>“三公”经费</w:t>
      </w:r>
      <w:r>
        <w:rPr>
          <w:rFonts w:hint="eastAsia" w:ascii="仿宋" w:hAnsi="仿宋" w:eastAsia="仿宋"/>
          <w:b/>
          <w:bCs/>
          <w:sz w:val="32"/>
          <w:szCs w:val="32"/>
          <w:lang w:eastAsia="zh-CN"/>
        </w:rPr>
        <w:t>管理情况：</w:t>
      </w:r>
      <w:r>
        <w:rPr>
          <w:rFonts w:hint="eastAsia" w:ascii="仿宋" w:hAnsi="仿宋" w:eastAsia="仿宋"/>
          <w:sz w:val="32"/>
          <w:szCs w:val="32"/>
          <w:lang w:val="en-US" w:eastAsia="zh-CN"/>
        </w:rPr>
        <w:t>2022</w:t>
      </w:r>
      <w:r>
        <w:rPr>
          <w:rFonts w:hint="eastAsia" w:ascii="仿宋_GB2312" w:hAnsi="仿宋_GB2312" w:eastAsia="仿宋_GB2312" w:cs="仿宋_GB2312"/>
          <w:sz w:val="32"/>
          <w:szCs w:val="32"/>
        </w:rPr>
        <w:t>的“三公”经费中</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接待费</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控制数为</w:t>
      </w:r>
      <w:r>
        <w:rPr>
          <w:rFonts w:hint="eastAsia" w:ascii="仿宋_GB2312" w:hAnsi="仿宋_GB2312" w:eastAsia="仿宋_GB2312" w:cs="仿宋_GB2312"/>
          <w:sz w:val="32"/>
          <w:szCs w:val="32"/>
          <w:lang w:val="en-US" w:eastAsia="zh-CN"/>
        </w:rPr>
        <w:t>6.3万元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年我局接待费实际开支</w:t>
      </w:r>
      <w:r>
        <w:rPr>
          <w:rFonts w:hint="eastAsia" w:ascii="仿宋_GB2312" w:hAnsi="仿宋_GB2312" w:eastAsia="仿宋_GB2312" w:cs="仿宋_GB2312"/>
          <w:sz w:val="32"/>
          <w:szCs w:val="32"/>
          <w:lang w:val="en-US" w:eastAsia="zh-CN"/>
        </w:rPr>
        <w:t>3.64</w:t>
      </w:r>
      <w:r>
        <w:rPr>
          <w:rFonts w:hint="eastAsia" w:ascii="仿宋_GB2312" w:hAnsi="仿宋_GB2312" w:eastAsia="仿宋_GB2312" w:cs="仿宋_GB2312"/>
          <w:sz w:val="32"/>
          <w:szCs w:val="32"/>
        </w:rPr>
        <w:t>万元。在接待费管理中，我局严格按规矩办事，必须要求六单合一（接待审批单，接待清单，接待公函，发票，电脑小票，菜单）来人接待必须出具接待函，主要领导在接待审批单上签字同意后，才能用餐，严格控制陪餐人员及用餐标准。</w:t>
      </w:r>
      <w:r>
        <w:rPr>
          <w:rFonts w:hint="eastAsia" w:ascii="仿宋" w:hAnsi="仿宋" w:eastAsia="仿宋"/>
          <w:sz w:val="32"/>
          <w:szCs w:val="32"/>
          <w:lang w:val="en-US" w:eastAsia="zh-CN"/>
        </w:rPr>
        <w:t>2022</w:t>
      </w:r>
      <w:r>
        <w:rPr>
          <w:rFonts w:hint="eastAsia" w:ascii="仿宋_GB2312" w:hAnsi="仿宋_GB2312" w:eastAsia="仿宋_GB2312" w:cs="仿宋_GB2312"/>
          <w:sz w:val="32"/>
          <w:szCs w:val="32"/>
        </w:rPr>
        <w:t>的“三公”经费</w:t>
      </w:r>
      <w:r>
        <w:rPr>
          <w:rFonts w:hint="eastAsia" w:ascii="仿宋_GB2312" w:hAnsi="仿宋_GB2312" w:eastAsia="仿宋_GB2312" w:cs="仿宋_GB2312"/>
          <w:sz w:val="32"/>
          <w:szCs w:val="32"/>
          <w:lang w:eastAsia="zh-CN"/>
        </w:rPr>
        <w:t>中的</w:t>
      </w:r>
      <w:r>
        <w:rPr>
          <w:rFonts w:hint="eastAsia" w:ascii="仿宋_GB2312" w:hAnsi="仿宋_GB2312" w:eastAsia="仿宋_GB2312" w:cs="仿宋_GB2312"/>
          <w:sz w:val="32"/>
          <w:szCs w:val="32"/>
        </w:rPr>
        <w:t>车辆运行费</w:t>
      </w:r>
      <w:r>
        <w:rPr>
          <w:rFonts w:hint="eastAsia" w:ascii="仿宋_GB2312" w:hAnsi="仿宋_GB2312" w:eastAsia="仿宋_GB2312" w:cs="仿宋_GB2312"/>
          <w:sz w:val="32"/>
          <w:szCs w:val="32"/>
          <w:lang w:eastAsia="zh-CN"/>
        </w:rPr>
        <w:t>的预算</w:t>
      </w:r>
      <w:r>
        <w:rPr>
          <w:rFonts w:hint="eastAsia" w:ascii="仿宋_GB2312" w:hAnsi="仿宋_GB2312" w:eastAsia="仿宋_GB2312" w:cs="仿宋_GB2312"/>
          <w:sz w:val="32"/>
          <w:szCs w:val="32"/>
        </w:rPr>
        <w:t>控制数为</w:t>
      </w:r>
      <w:r>
        <w:rPr>
          <w:rFonts w:hint="eastAsia" w:ascii="仿宋_GB2312" w:hAnsi="仿宋_GB2312" w:eastAsia="仿宋_GB2312" w:cs="仿宋_GB2312"/>
          <w:sz w:val="32"/>
          <w:szCs w:val="32"/>
          <w:lang w:val="en-US" w:eastAsia="zh-CN"/>
        </w:rPr>
        <w:t>5.04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年实际开支</w:t>
      </w:r>
      <w:r>
        <w:rPr>
          <w:rFonts w:hint="eastAsia" w:ascii="仿宋_GB2312" w:hAnsi="仿宋_GB2312" w:eastAsia="仿宋_GB2312" w:cs="仿宋_GB2312"/>
          <w:sz w:val="32"/>
          <w:szCs w:val="32"/>
          <w:lang w:val="en-US" w:eastAsia="zh-CN"/>
        </w:rPr>
        <w:t>5.03</w:t>
      </w:r>
      <w:r>
        <w:rPr>
          <w:rFonts w:hint="eastAsia" w:ascii="仿宋_GB2312" w:hAnsi="仿宋_GB2312" w:eastAsia="仿宋_GB2312" w:cs="仿宋_GB2312"/>
          <w:sz w:val="32"/>
          <w:szCs w:val="32"/>
        </w:rPr>
        <w:t>万元。对车辆的使用和管理也有严格的制度，出差用车需填写公务用车使用派车单，</w:t>
      </w:r>
      <w:r>
        <w:rPr>
          <w:rFonts w:hint="eastAsia" w:ascii="仿宋_GB2312" w:hAnsi="仿宋_GB2312" w:eastAsia="仿宋_GB2312" w:cs="仿宋_GB2312"/>
          <w:sz w:val="32"/>
          <w:szCs w:val="32"/>
          <w:lang w:eastAsia="zh-CN"/>
        </w:rPr>
        <w:t>详细填写出差原因，出差人员，出差时间，</w:t>
      </w:r>
      <w:r>
        <w:rPr>
          <w:rFonts w:hint="eastAsia" w:ascii="仿宋_GB2312" w:hAnsi="仿宋_GB2312" w:eastAsia="仿宋_GB2312" w:cs="仿宋_GB2312"/>
          <w:sz w:val="32"/>
          <w:szCs w:val="32"/>
        </w:rPr>
        <w:t>经主要领导签字同意，视事情的轻重缓急安排用车。</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（二）专项支出</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 w:hAnsi="仿宋" w:eastAsia="仿宋"/>
          <w:sz w:val="32"/>
          <w:szCs w:val="32"/>
          <w:lang w:val="en-US" w:eastAsia="zh-CN"/>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年市财政预算安排和追加我局专项经费共计</w:t>
      </w:r>
      <w:r>
        <w:rPr>
          <w:rFonts w:hint="eastAsia" w:ascii="仿宋_GB2312" w:hAnsi="仿宋_GB2312" w:eastAsia="仿宋_GB2312" w:cs="仿宋_GB2312"/>
          <w:sz w:val="32"/>
          <w:szCs w:val="32"/>
          <w:lang w:val="en-US" w:eastAsia="zh-CN"/>
        </w:rPr>
        <w:t>615.55万元。</w:t>
      </w:r>
      <w:r>
        <w:rPr>
          <w:rFonts w:hint="eastAsia" w:ascii="仿宋" w:hAnsi="仿宋" w:eastAsia="仿宋"/>
          <w:sz w:val="32"/>
          <w:szCs w:val="32"/>
          <w:lang w:eastAsia="zh-CN"/>
        </w:rPr>
        <w:t>包括：</w:t>
      </w:r>
      <w:r>
        <w:rPr>
          <w:rFonts w:hint="eastAsia" w:ascii="仿宋" w:hAnsi="仿宋" w:eastAsia="仿宋"/>
          <w:sz w:val="32"/>
          <w:szCs w:val="32"/>
        </w:rPr>
        <w:t>少数民族工作</w:t>
      </w:r>
      <w:r>
        <w:rPr>
          <w:rFonts w:hint="eastAsia" w:ascii="仿宋" w:hAnsi="仿宋" w:eastAsia="仿宋"/>
          <w:sz w:val="32"/>
          <w:szCs w:val="32"/>
          <w:lang w:eastAsia="zh-CN"/>
        </w:rPr>
        <w:t>专项</w:t>
      </w:r>
      <w:r>
        <w:rPr>
          <w:rFonts w:hint="eastAsia" w:ascii="仿宋" w:hAnsi="仿宋" w:eastAsia="仿宋"/>
          <w:sz w:val="32"/>
          <w:szCs w:val="32"/>
        </w:rPr>
        <w:t>经费</w:t>
      </w:r>
      <w:r>
        <w:rPr>
          <w:rFonts w:hint="eastAsia" w:ascii="仿宋" w:hAnsi="仿宋" w:eastAsia="仿宋"/>
          <w:sz w:val="32"/>
          <w:szCs w:val="32"/>
          <w:lang w:val="en-US" w:eastAsia="zh-CN"/>
        </w:rPr>
        <w:t>100.2</w:t>
      </w:r>
      <w:r>
        <w:rPr>
          <w:rFonts w:hint="eastAsia" w:ascii="仿宋" w:hAnsi="仿宋" w:eastAsia="仿宋"/>
          <w:sz w:val="32"/>
          <w:szCs w:val="32"/>
        </w:rPr>
        <w:t>万元</w:t>
      </w:r>
      <w:r>
        <w:rPr>
          <w:rFonts w:hint="eastAsia" w:ascii="仿宋" w:hAnsi="仿宋" w:eastAsia="仿宋"/>
          <w:sz w:val="32"/>
          <w:szCs w:val="32"/>
          <w:lang w:eastAsia="zh-CN"/>
        </w:rPr>
        <w:t>；调研培训经费</w:t>
      </w:r>
      <w:r>
        <w:rPr>
          <w:rFonts w:hint="eastAsia" w:ascii="仿宋" w:hAnsi="仿宋" w:eastAsia="仿宋"/>
          <w:sz w:val="32"/>
          <w:szCs w:val="32"/>
          <w:lang w:val="en-US" w:eastAsia="zh-CN"/>
        </w:rPr>
        <w:t>3.3万元；</w:t>
      </w:r>
      <w:r>
        <w:rPr>
          <w:rFonts w:hint="eastAsia" w:ascii="仿宋" w:hAnsi="仿宋" w:eastAsia="仿宋"/>
          <w:sz w:val="32"/>
          <w:szCs w:val="32"/>
        </w:rPr>
        <w:t>占宗教事务经费</w:t>
      </w:r>
      <w:r>
        <w:rPr>
          <w:rFonts w:hint="eastAsia" w:ascii="仿宋" w:hAnsi="仿宋" w:eastAsia="仿宋"/>
          <w:sz w:val="32"/>
          <w:szCs w:val="32"/>
          <w:lang w:val="en-US" w:eastAsia="zh-CN"/>
        </w:rPr>
        <w:t>30</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少数民族文化发展经费</w:t>
      </w:r>
      <w:r>
        <w:rPr>
          <w:rFonts w:hint="eastAsia" w:ascii="仿宋" w:hAnsi="仿宋" w:eastAsia="仿宋"/>
          <w:sz w:val="32"/>
          <w:szCs w:val="32"/>
          <w:lang w:val="en-US" w:eastAsia="zh-CN"/>
        </w:rPr>
        <w:t>30</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民族乡两项经费1</w:t>
      </w:r>
      <w:r>
        <w:rPr>
          <w:rFonts w:hint="eastAsia" w:ascii="仿宋" w:hAnsi="仿宋" w:eastAsia="仿宋"/>
          <w:sz w:val="32"/>
          <w:szCs w:val="32"/>
          <w:lang w:val="en-US" w:eastAsia="zh-CN"/>
        </w:rPr>
        <w:t>14</w:t>
      </w:r>
      <w:r>
        <w:rPr>
          <w:rFonts w:hint="eastAsia" w:ascii="仿宋" w:hAnsi="仿宋" w:eastAsia="仿宋"/>
          <w:sz w:val="32"/>
          <w:szCs w:val="32"/>
        </w:rPr>
        <w:t>万元，</w:t>
      </w:r>
      <w:r>
        <w:rPr>
          <w:rFonts w:hint="eastAsia" w:ascii="仿宋" w:hAnsi="仿宋" w:eastAsia="仿宋"/>
          <w:sz w:val="32"/>
          <w:szCs w:val="32"/>
          <w:lang w:eastAsia="zh-CN"/>
        </w:rPr>
        <w:t>市第六届少数民族运动会专项资金</w:t>
      </w:r>
      <w:r>
        <w:rPr>
          <w:rFonts w:hint="eastAsia" w:ascii="仿宋" w:hAnsi="仿宋" w:eastAsia="仿宋"/>
          <w:sz w:val="32"/>
          <w:szCs w:val="32"/>
          <w:lang w:val="en-US" w:eastAsia="zh-CN"/>
        </w:rPr>
        <w:t>216.08万元；</w:t>
      </w:r>
      <w:r>
        <w:rPr>
          <w:rFonts w:hint="eastAsia" w:ascii="仿宋" w:hAnsi="仿宋" w:eastAsia="仿宋"/>
          <w:sz w:val="32"/>
          <w:szCs w:val="32"/>
          <w:lang w:eastAsia="zh-CN"/>
        </w:rPr>
        <w:t>省第十届少数民族运动会</w:t>
      </w:r>
      <w:r>
        <w:rPr>
          <w:rFonts w:hint="eastAsia" w:ascii="仿宋" w:hAnsi="仿宋" w:eastAsia="仿宋"/>
          <w:sz w:val="32"/>
          <w:szCs w:val="32"/>
          <w:lang w:val="en-US" w:eastAsia="zh-CN"/>
        </w:rPr>
        <w:t>100万元；创建全国民族团结进步示范市专项资金19.77万元，</w:t>
      </w:r>
      <w:r>
        <w:rPr>
          <w:rFonts w:hint="eastAsia" w:ascii="仿宋" w:hAnsi="仿宋" w:eastAsia="仿宋"/>
          <w:sz w:val="32"/>
          <w:szCs w:val="32"/>
          <w:lang w:eastAsia="zh-CN"/>
        </w:rPr>
        <w:t>抗疫资金</w:t>
      </w:r>
      <w:r>
        <w:rPr>
          <w:rFonts w:hint="eastAsia" w:ascii="仿宋" w:hAnsi="仿宋" w:eastAsia="仿宋"/>
          <w:sz w:val="32"/>
          <w:szCs w:val="32"/>
          <w:lang w:val="en-US" w:eastAsia="zh-CN"/>
        </w:rPr>
        <w:t>2.2万元。</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少数民族工作专项经费用于开展本局履行职责职能，开展少数民族专项工作所需的各项费用，如办公费，差旅费，调研培训，其他</w:t>
      </w:r>
      <w:bookmarkStart w:id="0" w:name="_GoBack"/>
      <w:bookmarkEnd w:id="0"/>
      <w:r>
        <w:rPr>
          <w:rFonts w:hint="eastAsia" w:ascii="仿宋" w:hAnsi="仿宋" w:eastAsia="仿宋"/>
          <w:b w:val="0"/>
          <w:bCs/>
          <w:sz w:val="32"/>
          <w:szCs w:val="32"/>
          <w:lang w:val="en-US" w:eastAsia="zh-CN"/>
        </w:rPr>
        <w:t>等所使用。</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调研培训经费是用于本单位开展少数民族工作调研所需的差旅费。</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民族乡两项经费</w:t>
      </w:r>
      <w:r>
        <w:rPr>
          <w:rFonts w:hint="eastAsia" w:ascii="仿宋_GB2312" w:hAnsi="仿宋_GB2312" w:eastAsia="仿宋_GB2312" w:cs="仿宋_GB2312"/>
          <w:sz w:val="32"/>
          <w:szCs w:val="32"/>
          <w:lang w:val="en-US" w:eastAsia="zh-CN"/>
        </w:rPr>
        <w:t>114</w:t>
      </w:r>
      <w:r>
        <w:rPr>
          <w:rFonts w:hint="eastAsia" w:ascii="仿宋_GB2312" w:hAnsi="仿宋_GB2312" w:eastAsia="仿宋_GB2312" w:cs="仿宋_GB2312"/>
          <w:sz w:val="32"/>
          <w:szCs w:val="32"/>
        </w:rPr>
        <w:t>万元全部直接下拨到</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个民族乡，每个民族乡</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少数民族文化资金</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万元也是直接用于本市少数民族相关的文化活动及少数民族文化的收集整理，都是直接拨付到</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具体项目。</w:t>
      </w:r>
    </w:p>
    <w:p>
      <w:pPr>
        <w:keepNext w:val="0"/>
        <w:keepLines w:val="0"/>
        <w:pageBreakBefore w:val="0"/>
        <w:widowControl/>
        <w:kinsoku/>
        <w:wordWrap/>
        <w:overflowPunct/>
        <w:topLinePunct w:val="0"/>
        <w:autoSpaceDE/>
        <w:autoSpaceDN/>
        <w:bidi w:val="0"/>
        <w:spacing w:beforeAutospacing="0" w:after="0" w:afterAutospacing="0"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宗教事务经费</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万元开支如下：用于本市四大教派的工作</w:t>
      </w:r>
      <w:r>
        <w:rPr>
          <w:rFonts w:hint="eastAsia" w:ascii="仿宋_GB2312" w:hAnsi="仿宋_GB2312" w:eastAsia="仿宋_GB2312" w:cs="仿宋_GB2312"/>
          <w:sz w:val="32"/>
          <w:szCs w:val="32"/>
          <w:lang w:eastAsia="zh-CN"/>
        </w:rPr>
        <w:t>经费</w:t>
      </w:r>
      <w:r>
        <w:rPr>
          <w:rFonts w:hint="eastAsia" w:ascii="仿宋_GB2312" w:hAnsi="仿宋_GB2312" w:eastAsia="仿宋_GB2312" w:cs="仿宋_GB2312"/>
          <w:sz w:val="32"/>
          <w:szCs w:val="32"/>
        </w:rPr>
        <w:t>补助，天主教，基督教、道教、佛教各</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万元，共计</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佛教协会换届培训经费</w:t>
      </w:r>
      <w:r>
        <w:rPr>
          <w:rFonts w:hint="eastAsia" w:ascii="仿宋_GB2312" w:hAnsi="仿宋_GB2312" w:eastAsia="仿宋_GB2312" w:cs="仿宋_GB2312"/>
          <w:sz w:val="32"/>
          <w:szCs w:val="32"/>
          <w:lang w:val="en-US" w:eastAsia="zh-CN"/>
        </w:rPr>
        <w:t>6万元，</w:t>
      </w:r>
      <w:r>
        <w:rPr>
          <w:rFonts w:hint="eastAsia" w:ascii="仿宋_GB2312" w:hAnsi="仿宋_GB2312" w:eastAsia="仿宋_GB2312" w:cs="仿宋_GB2312"/>
          <w:sz w:val="32"/>
          <w:szCs w:val="32"/>
        </w:rPr>
        <w:t>及宗教场所安全维修经费</w:t>
      </w:r>
      <w:r>
        <w:rPr>
          <w:rFonts w:hint="eastAsia" w:ascii="仿宋_GB2312" w:hAnsi="仿宋_GB2312" w:eastAsia="仿宋_GB2312" w:cs="仿宋_GB2312"/>
          <w:sz w:val="32"/>
          <w:szCs w:val="32"/>
          <w:lang w:val="en-US" w:eastAsia="zh-CN"/>
        </w:rPr>
        <w:t>4万元。</w:t>
      </w:r>
      <w:r>
        <w:rPr>
          <w:rFonts w:hint="eastAsia" w:ascii="仿宋_GB2312" w:hAnsi="仿宋_GB2312" w:eastAsia="仿宋_GB2312" w:cs="仿宋_GB2312"/>
          <w:sz w:val="32"/>
          <w:szCs w:val="32"/>
        </w:rPr>
        <w:t>怀化市全市宗教团体部分主要负责人每人每月</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元补助共计</w:t>
      </w:r>
      <w:r>
        <w:rPr>
          <w:rFonts w:ascii="仿宋_GB2312" w:hAnsi="仿宋_GB2312" w:eastAsia="仿宋_GB2312" w:cs="仿宋_GB2312"/>
          <w:sz w:val="32"/>
          <w:szCs w:val="32"/>
        </w:rPr>
        <w:t>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其余用于</w:t>
      </w:r>
      <w:r>
        <w:rPr>
          <w:rFonts w:hint="eastAsia" w:ascii="仿宋_GB2312" w:hAnsi="仿宋_GB2312" w:eastAsia="仿宋_GB2312" w:cs="仿宋_GB2312"/>
          <w:sz w:val="32"/>
          <w:szCs w:val="32"/>
        </w:rPr>
        <w:t>本局宗教工作开展所需的各种开支，如差旅费，办公费，会议费等。</w:t>
      </w:r>
      <w:r>
        <w:rPr>
          <w:rFonts w:hint="eastAsia" w:ascii="仿宋_GB2312" w:hAnsi="仿宋_GB2312" w:eastAsia="仿宋_GB2312" w:cs="仿宋_GB2312"/>
          <w:sz w:val="32"/>
          <w:szCs w:val="32"/>
          <w:lang w:eastAsia="zh-CN"/>
        </w:rPr>
        <w:t>此共计</w:t>
      </w:r>
      <w:r>
        <w:rPr>
          <w:rFonts w:hint="eastAsia" w:ascii="仿宋_GB2312" w:hAnsi="仿宋_GB2312" w:eastAsia="仿宋_GB2312" w:cs="仿宋_GB2312"/>
          <w:sz w:val="32"/>
          <w:szCs w:val="32"/>
          <w:lang w:val="en-US" w:eastAsia="zh-CN"/>
        </w:rPr>
        <w:t>14万元。</w:t>
      </w:r>
      <w:r>
        <w:rPr>
          <w:rFonts w:hint="eastAsia" w:ascii="仿宋_GB2312" w:hAnsi="仿宋_GB2312" w:eastAsia="仿宋_GB2312" w:cs="仿宋_GB2312"/>
          <w:sz w:val="32"/>
          <w:szCs w:val="32"/>
          <w:lang w:eastAsia="zh-CN"/>
        </w:rPr>
        <w:t>全年共使用</w:t>
      </w:r>
      <w:r>
        <w:rPr>
          <w:rFonts w:hint="eastAsia" w:ascii="仿宋_GB2312" w:hAnsi="仿宋_GB2312" w:eastAsia="仿宋_GB2312" w:cs="仿宋_GB2312"/>
          <w:sz w:val="32"/>
          <w:szCs w:val="32"/>
          <w:lang w:val="en-US" w:eastAsia="zh-CN"/>
        </w:rPr>
        <w:t>28.39万元，</w:t>
      </w:r>
      <w:r>
        <w:rPr>
          <w:rFonts w:hint="eastAsia" w:ascii="仿宋_GB2312" w:hAnsi="仿宋_GB2312" w:eastAsia="仿宋_GB2312" w:cs="仿宋_GB2312"/>
          <w:sz w:val="32"/>
          <w:szCs w:val="32"/>
          <w:lang w:eastAsia="zh-CN"/>
        </w:rPr>
        <w:t>年末结余</w:t>
      </w:r>
      <w:r>
        <w:rPr>
          <w:rFonts w:hint="eastAsia" w:ascii="仿宋_GB2312" w:hAnsi="仿宋_GB2312" w:eastAsia="仿宋_GB2312" w:cs="仿宋_GB2312"/>
          <w:sz w:val="32"/>
          <w:szCs w:val="32"/>
          <w:lang w:val="en-US" w:eastAsia="zh-CN"/>
        </w:rPr>
        <w:t>1.61万元，被财政收回统筹。</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3" w:firstLineChars="200"/>
        <w:jc w:val="both"/>
        <w:textAlignment w:val="auto"/>
        <w:rPr>
          <w:rFonts w:hint="eastAsia" w:ascii="黑体" w:hAnsi="黑体" w:eastAsia="黑体" w:cs="黑体"/>
          <w:b/>
          <w:sz w:val="32"/>
          <w:szCs w:val="32"/>
        </w:rPr>
      </w:pPr>
      <w:r>
        <w:rPr>
          <w:rFonts w:hint="eastAsia" w:ascii="黑体" w:hAnsi="黑体" w:eastAsia="黑体" w:cs="黑体"/>
          <w:b/>
          <w:sz w:val="32"/>
          <w:szCs w:val="32"/>
          <w:lang w:eastAsia="zh-CN"/>
        </w:rPr>
        <w:t>三、</w:t>
      </w:r>
      <w:r>
        <w:rPr>
          <w:rFonts w:hint="eastAsia" w:ascii="黑体" w:hAnsi="黑体" w:eastAsia="黑体" w:cs="黑体"/>
          <w:b/>
          <w:sz w:val="32"/>
          <w:szCs w:val="32"/>
        </w:rPr>
        <w:t>部门专项组织实施情况</w:t>
      </w:r>
    </w:p>
    <w:p>
      <w:pPr>
        <w:keepNext w:val="0"/>
        <w:keepLines w:val="0"/>
        <w:pageBreakBefore w:val="0"/>
        <w:widowControl/>
        <w:kinsoku/>
        <w:wordWrap/>
        <w:overflowPunct/>
        <w:topLinePunct w:val="0"/>
        <w:autoSpaceDE/>
        <w:autoSpaceDN/>
        <w:bidi w:val="0"/>
        <w:spacing w:beforeAutospacing="0" w:after="0" w:afterAutospacing="0" w:line="580"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（一）专项组织情况分析</w:t>
      </w:r>
    </w:p>
    <w:p>
      <w:pPr>
        <w:keepNext w:val="0"/>
        <w:keepLines w:val="0"/>
        <w:pageBreakBefore w:val="0"/>
        <w:widowControl/>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对于需要进行项目招投标的专项，本单位严格按照招、投标法进行公开招投标，对项目实施过程中进行严格的跟踪，监管，确保专款专用，项目实施完成之后，组织专家组办理竣工验收，结算手续，发挥资金的最大的使用效果。 </w:t>
      </w:r>
    </w:p>
    <w:p>
      <w:pPr>
        <w:keepNext w:val="0"/>
        <w:keepLines w:val="0"/>
        <w:pageBreakBefore w:val="0"/>
        <w:widowControl/>
        <w:kinsoku/>
        <w:wordWrap/>
        <w:overflowPunct/>
        <w:topLinePunct w:val="0"/>
        <w:autoSpaceDE/>
        <w:autoSpaceDN/>
        <w:bidi w:val="0"/>
        <w:spacing w:beforeAutospacing="0" w:after="0" w:afterAutospacing="0" w:line="58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（二）专项管理情况分析</w:t>
      </w:r>
    </w:p>
    <w:p>
      <w:pPr>
        <w:keepNext w:val="0"/>
        <w:keepLines w:val="0"/>
        <w:pageBreakBefore w:val="0"/>
        <w:widowControl/>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于专项资金的拨付使用，我们都严格按照《湖南省省级少数民族专项资金管理办法》《怀化市民族宗教事务局市级少数民族专项资金管理办法》等有关规定，由使用方递交申请报告，不定期召开局党组会议研究讨论，按</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开展的先后顺序</w:t>
      </w:r>
      <w:r>
        <w:rPr>
          <w:rFonts w:hint="eastAsia" w:ascii="仿宋_GB2312" w:hAnsi="仿宋_GB2312" w:eastAsia="仿宋_GB2312" w:cs="仿宋_GB2312"/>
          <w:sz w:val="32"/>
          <w:szCs w:val="32"/>
          <w:lang w:eastAsia="zh-CN"/>
        </w:rPr>
        <w:t>对专项</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安排。</w:t>
      </w:r>
      <w:r>
        <w:rPr>
          <w:rFonts w:hint="eastAsia" w:ascii="仿宋_GB2312" w:hAnsi="仿宋_GB2312" w:eastAsia="仿宋_GB2312" w:cs="仿宋_GB2312"/>
          <w:sz w:val="32"/>
          <w:szCs w:val="32"/>
          <w:lang w:eastAsia="zh-CN"/>
        </w:rPr>
        <w:t>确保专款专用。</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3" w:firstLineChars="200"/>
        <w:jc w:val="both"/>
        <w:textAlignment w:val="auto"/>
        <w:rPr>
          <w:rFonts w:hint="eastAsia" w:ascii="黑体" w:hAnsi="黑体" w:eastAsia="黑体" w:cs="黑体"/>
          <w:b/>
          <w:sz w:val="32"/>
          <w:szCs w:val="32"/>
        </w:rPr>
      </w:pPr>
      <w:r>
        <w:rPr>
          <w:rFonts w:hint="eastAsia" w:ascii="黑体" w:hAnsi="黑体" w:eastAsia="黑体" w:cs="黑体"/>
          <w:b/>
          <w:sz w:val="32"/>
          <w:szCs w:val="32"/>
          <w:lang w:eastAsia="zh-CN"/>
        </w:rPr>
        <w:t>四、</w:t>
      </w:r>
      <w:r>
        <w:rPr>
          <w:rFonts w:hint="eastAsia" w:ascii="黑体" w:hAnsi="黑体" w:eastAsia="黑体" w:cs="黑体"/>
          <w:b/>
          <w:sz w:val="32"/>
          <w:szCs w:val="32"/>
        </w:rPr>
        <w:t>资产管理情况</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val="0"/>
          <w:kern w:val="0"/>
          <w:sz w:val="32"/>
          <w:szCs w:val="32"/>
          <w:lang w:val="en-US" w:eastAsia="zh-CN" w:bidi="ar-SA"/>
        </w:rPr>
        <w:t>本单位为了履行职责、职能，开展民族宗教工作所必须配备相应的资产。包括通用设备和家具用具。本局依据制定的《怀化市民族宗教事务局固定资产管理办法》对资产进行严格的管理，包括购置环节，使用管理环节，处置环节。期末定期盘点，确保固定资产有效使用，安全完整，确保期末账账相符，账实相符，有效防止了资产的闲置和流失。</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3" w:firstLineChars="200"/>
        <w:jc w:val="both"/>
        <w:textAlignment w:val="auto"/>
        <w:rPr>
          <w:rFonts w:hint="eastAsia" w:ascii="黑体" w:hAnsi="黑体" w:eastAsia="黑体" w:cs="黑体"/>
          <w:b/>
          <w:sz w:val="32"/>
          <w:szCs w:val="32"/>
        </w:rPr>
      </w:pPr>
      <w:r>
        <w:rPr>
          <w:rFonts w:hint="eastAsia" w:ascii="黑体" w:hAnsi="黑体" w:eastAsia="黑体" w:cs="黑体"/>
          <w:b/>
          <w:sz w:val="32"/>
          <w:szCs w:val="32"/>
        </w:rPr>
        <w:t>五、部门整体支出绩效情况</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从市民宗局部门履职及履职效益情况来看，总体的效果是好的。协助做好了少数民族事业“十</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五”规划编制工作。加强了民族发展专项资金和管理使用，大力保护与发展支持少数民族特色村寨。进一步抓好了武陵山片区对口联系工作。积极传承和弘扬民族优秀文化。着力推动民族教育事业发展，全力维护民宗领域和谐稳定。从有效性来看，各专项工作的分工负责部门均能按制度和各自的目标抓好落实，注重了专项资金的使用效果；从经济性来看，各部门能够按预算来抓好成本控制，强化勤俭办事的意识，注重节约开支，年度开支都控制在市财政规定的范围内；从可持续性来看，后续的相关政策、相关的配套资金，必要的人员机构也要继续保持，管理制度要做到与时俱进，相关内容要及时补充完善。</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3" w:firstLineChars="200"/>
        <w:jc w:val="both"/>
        <w:textAlignment w:val="auto"/>
        <w:rPr>
          <w:rFonts w:hint="eastAsia" w:ascii="黑体" w:hAnsi="黑体" w:eastAsia="黑体" w:cs="黑体"/>
          <w:b/>
          <w:sz w:val="32"/>
          <w:szCs w:val="32"/>
        </w:rPr>
      </w:pPr>
      <w:r>
        <w:rPr>
          <w:rFonts w:hint="eastAsia" w:ascii="黑体" w:hAnsi="黑体" w:eastAsia="黑体" w:cs="黑体"/>
          <w:b/>
          <w:sz w:val="32"/>
          <w:szCs w:val="32"/>
        </w:rPr>
        <w:t>六</w:t>
      </w:r>
      <w:r>
        <w:rPr>
          <w:rFonts w:hint="eastAsia" w:ascii="黑体" w:hAnsi="黑体" w:eastAsia="黑体" w:cs="黑体"/>
          <w:sz w:val="32"/>
          <w:szCs w:val="32"/>
        </w:rPr>
        <w:t>、</w:t>
      </w:r>
      <w:r>
        <w:rPr>
          <w:rFonts w:hint="eastAsia" w:ascii="黑体" w:hAnsi="黑体" w:eastAsia="黑体" w:cs="黑体"/>
          <w:b/>
          <w:sz w:val="32"/>
          <w:szCs w:val="32"/>
        </w:rPr>
        <w:t>存在的主要问题</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存在的问题：我市的民族工作经费是根据中共怀化市委、怀化市人民政府《关于进一步加强民族工作加快少数民族和民族地区经济社会发展的意见》（怀发</w:t>
      </w:r>
      <w:r>
        <w:rPr>
          <w:rFonts w:ascii="仿宋_GB2312" w:hAnsi="仿宋_GB2312" w:eastAsia="仿宋_GB2312" w:cs="仿宋_GB2312"/>
          <w:sz w:val="32"/>
          <w:szCs w:val="32"/>
        </w:rPr>
        <w:t>[2006]11</w:t>
      </w:r>
      <w:r>
        <w:rPr>
          <w:rFonts w:hint="eastAsia" w:ascii="仿宋_GB2312" w:hAnsi="仿宋_GB2312" w:eastAsia="仿宋_GB2312" w:cs="仿宋_GB2312"/>
          <w:sz w:val="32"/>
          <w:szCs w:val="32"/>
        </w:rPr>
        <w:t>号）文件精神，“按照少数民族人口人数不低于每人一元的标准安排民族工作经费，并形成正常增长机制”的要求，由市财政预算安排。问题是在遇到重大民族活动时，由于市</w:t>
      </w:r>
      <w:r>
        <w:rPr>
          <w:rFonts w:hint="eastAsia" w:ascii="仿宋_GB2312" w:hAnsi="仿宋_GB2312" w:eastAsia="仿宋_GB2312" w:cs="仿宋_GB2312"/>
          <w:sz w:val="32"/>
          <w:szCs w:val="32"/>
          <w:lang w:eastAsia="zh-CN"/>
        </w:rPr>
        <w:t>级</w:t>
      </w:r>
      <w:r>
        <w:rPr>
          <w:rFonts w:hint="eastAsia" w:ascii="仿宋_GB2312" w:hAnsi="仿宋_GB2312" w:eastAsia="仿宋_GB2312" w:cs="仿宋_GB2312"/>
          <w:sz w:val="32"/>
          <w:szCs w:val="32"/>
        </w:rPr>
        <w:t>财政经费紧张，会出现从这笔专项经费中调剂部分资金到</w:t>
      </w:r>
      <w:r>
        <w:rPr>
          <w:rFonts w:hint="eastAsia" w:ascii="仿宋_GB2312" w:hAnsi="仿宋_GB2312" w:eastAsia="仿宋_GB2312" w:cs="仿宋_GB2312"/>
          <w:sz w:val="32"/>
          <w:szCs w:val="32"/>
          <w:lang w:eastAsia="zh-CN"/>
        </w:rPr>
        <w:t>重大民族</w:t>
      </w:r>
      <w:r>
        <w:rPr>
          <w:rFonts w:hint="eastAsia" w:ascii="仿宋_GB2312" w:hAnsi="仿宋_GB2312" w:eastAsia="仿宋_GB2312" w:cs="仿宋_GB2312"/>
          <w:sz w:val="32"/>
          <w:szCs w:val="32"/>
        </w:rPr>
        <w:t>活动中</w:t>
      </w:r>
      <w:r>
        <w:rPr>
          <w:rFonts w:hint="eastAsia" w:ascii="仿宋_GB2312" w:hAnsi="仿宋_GB2312" w:eastAsia="仿宋_GB2312" w:cs="仿宋_GB2312"/>
          <w:sz w:val="32"/>
          <w:szCs w:val="32"/>
          <w:lang w:eastAsia="zh-CN"/>
        </w:rPr>
        <w:t>使用</w:t>
      </w:r>
      <w:r>
        <w:rPr>
          <w:rFonts w:hint="eastAsia" w:ascii="仿宋_GB2312" w:hAnsi="仿宋_GB2312" w:eastAsia="仿宋_GB2312" w:cs="仿宋_GB2312"/>
          <w:sz w:val="32"/>
          <w:szCs w:val="32"/>
        </w:rPr>
        <w:t>，这样无形中减少了我们的民族工作经费，影响了部分民族工作的顺利完成。</w:t>
      </w:r>
      <w:r>
        <w:rPr>
          <w:rFonts w:hint="eastAsia" w:ascii="仿宋_GB2312" w:hAnsi="仿宋_GB2312" w:eastAsia="仿宋_GB2312" w:cs="仿宋_GB2312"/>
          <w:sz w:val="32"/>
          <w:szCs w:val="32"/>
          <w:lang w:eastAsia="zh-CN"/>
        </w:rPr>
        <w:t>同时，由于少数民族工作专项经费的使用主要是依据省财政厅，省民宗委文件湘财行【</w:t>
      </w:r>
      <w:r>
        <w:rPr>
          <w:rFonts w:hint="eastAsia" w:ascii="仿宋_GB2312" w:hAnsi="仿宋_GB2312" w:eastAsia="仿宋_GB2312" w:cs="仿宋_GB2312"/>
          <w:sz w:val="32"/>
          <w:szCs w:val="32"/>
          <w:lang w:val="en-US" w:eastAsia="zh-CN"/>
        </w:rPr>
        <w:t>2019】13号文件制定的《怀化市市级民族宗教专项资金管理办法》，在该项专项资金的具体使用过程中，使用范围比较笼统，从而导致该项资金的监督检查过程中，不同的检查者都有不同的解读和标准，从而导致有挤占少数民族工作专项经费的嫌疑。导致存在没有专款专用少数民族工作专项经覅的风险。</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3" w:firstLineChars="200"/>
        <w:jc w:val="both"/>
        <w:textAlignment w:val="auto"/>
        <w:rPr>
          <w:rFonts w:hint="eastAsia" w:ascii="黑体" w:hAnsi="黑体" w:eastAsia="黑体" w:cs="黑体"/>
          <w:b/>
          <w:sz w:val="32"/>
          <w:szCs w:val="32"/>
        </w:rPr>
      </w:pPr>
      <w:r>
        <w:rPr>
          <w:rFonts w:hint="eastAsia" w:ascii="黑体" w:hAnsi="黑体" w:eastAsia="黑体" w:cs="黑体"/>
          <w:b/>
          <w:sz w:val="32"/>
          <w:szCs w:val="32"/>
        </w:rPr>
        <w:t>七、</w:t>
      </w:r>
      <w:r>
        <w:rPr>
          <w:rFonts w:hint="eastAsia" w:ascii="黑体" w:hAnsi="黑体" w:eastAsia="黑体" w:cs="黑体"/>
          <w:b/>
          <w:sz w:val="32"/>
          <w:szCs w:val="32"/>
          <w:lang w:eastAsia="zh-CN"/>
        </w:rPr>
        <w:t>改进措施和有关</w:t>
      </w:r>
      <w:r>
        <w:rPr>
          <w:rFonts w:hint="eastAsia" w:ascii="黑体" w:hAnsi="黑体" w:eastAsia="黑体" w:cs="黑体"/>
          <w:b/>
          <w:sz w:val="32"/>
          <w:szCs w:val="32"/>
        </w:rPr>
        <w:t>建议</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、重大民族活动应该单独安排资金，而不是占用民族工作经费；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、少数民族工作经费应按增长机制进行增加。</w:t>
      </w:r>
      <w:r>
        <w:rPr>
          <w:rFonts w:hint="eastAsia" w:ascii="仿宋_GB2312" w:hAnsi="仿宋_GB2312" w:eastAsia="仿宋_GB2312" w:cs="仿宋_GB2312"/>
          <w:sz w:val="32"/>
          <w:szCs w:val="32"/>
          <w:lang w:val="en-US" w:eastAsia="zh-CN"/>
        </w:rPr>
        <w:t>3、进一步明确市级民族宗教专项资金的使用范围，进一步确保专款专用。</w:t>
      </w:r>
    </w:p>
    <w:sectPr>
      <w:headerReference r:id="rId5" w:type="first"/>
      <w:footerReference r:id="rId8" w:type="first"/>
      <w:headerReference r:id="rId4" w:type="default"/>
      <w:footerReference r:id="rId6" w:type="default"/>
      <w:footerReference r:id="rId7" w:type="even"/>
      <w:pgSz w:w="11906" w:h="16838"/>
      <w:pgMar w:top="1440" w:right="1701" w:bottom="1440" w:left="1701" w:header="708" w:footer="709"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pPr>
                <w:r>
                  <w:fldChar w:fldCharType="begin"/>
                </w:r>
                <w:r>
                  <w:instrText xml:space="preserve"> PAGE  \* MERGEFORMAT </w:instrText>
                </w:r>
                <w:r>
                  <w:fldChar w:fldCharType="separate"/>
                </w:r>
                <w:r>
                  <w:t>7</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3"/>
                </w:pPr>
                <w:r>
                  <w:fldChar w:fldCharType="begin"/>
                </w:r>
                <w:r>
                  <w:instrText xml:space="preserve"> PAGE  \* MERGEFORMAT </w:instrText>
                </w:r>
                <w:r>
                  <w:fldChar w:fldCharType="separate"/>
                </w:r>
                <w:r>
                  <w:t>6</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35A65"/>
    <w:multiLevelType w:val="singleLevel"/>
    <w:tmpl w:val="B0435A65"/>
    <w:lvl w:ilvl="0" w:tentative="0">
      <w:start w:val="1"/>
      <w:numFmt w:val="decimal"/>
      <w:suff w:val="nothing"/>
      <w:lvlText w:val="%1、"/>
      <w:lvlJc w:val="left"/>
    </w:lvl>
  </w:abstractNum>
  <w:abstractNum w:abstractNumId="1">
    <w:nsid w:val="25237644"/>
    <w:multiLevelType w:val="singleLevel"/>
    <w:tmpl w:val="2523764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720"/>
  <w:evenAndOddHeaders w:val="1"/>
  <w:drawingGridHorizontalSpacing w:val="110"/>
  <w:displayHorizontalDrawingGridEvery w:val="2"/>
  <w:characterSpacingControl w:val="doNotCompress"/>
  <w:noLineBreaksAfter w:lang="zh-CN" w:val="$([{£¥·‘“〈《「『【〔〖〝﹙﹛﹝＄（．［｛￡￥"/>
  <w:noLineBreaksBefore w:lang="zh-CN" w:val="!%),.:;&gt;?]}¢¨°·ˇˉ―‖’”…‰′″›℃∶、。〃〉》」』】〕〗〞︶︺︾﹀﹄﹚﹜﹞！＂％＇），．：；？］｀｜｝～￠"/>
  <w:hdrShapeDefaults>
    <o:shapelayout v:ext="edit">
      <o:idmap v:ext="edit" data="3,4"/>
    </o:shapelayout>
  </w:hdrShapeDefaults>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NmMjI0OThmZDk3N2Q4MGYxNDk1YWZlMzE3NGRjYWYifQ=="/>
  </w:docVars>
  <w:rsids>
    <w:rsidRoot w:val="00D31D50"/>
    <w:rsid w:val="000245F1"/>
    <w:rsid w:val="00053237"/>
    <w:rsid w:val="00054BDB"/>
    <w:rsid w:val="00077E07"/>
    <w:rsid w:val="000919E9"/>
    <w:rsid w:val="000A432D"/>
    <w:rsid w:val="000A53D8"/>
    <w:rsid w:val="000B41BE"/>
    <w:rsid w:val="000E2432"/>
    <w:rsid w:val="000E58E9"/>
    <w:rsid w:val="000F0B2A"/>
    <w:rsid w:val="00130F6B"/>
    <w:rsid w:val="00153008"/>
    <w:rsid w:val="00175ACB"/>
    <w:rsid w:val="001774FB"/>
    <w:rsid w:val="00180324"/>
    <w:rsid w:val="00181A25"/>
    <w:rsid w:val="00184739"/>
    <w:rsid w:val="00187941"/>
    <w:rsid w:val="001C4BCF"/>
    <w:rsid w:val="001D39D3"/>
    <w:rsid w:val="00205BBE"/>
    <w:rsid w:val="002218DA"/>
    <w:rsid w:val="00271AF0"/>
    <w:rsid w:val="00282A78"/>
    <w:rsid w:val="0029618E"/>
    <w:rsid w:val="002A47F5"/>
    <w:rsid w:val="002B28AC"/>
    <w:rsid w:val="002C6652"/>
    <w:rsid w:val="00323393"/>
    <w:rsid w:val="00323B43"/>
    <w:rsid w:val="0034742A"/>
    <w:rsid w:val="00354131"/>
    <w:rsid w:val="003A49BF"/>
    <w:rsid w:val="003D13B7"/>
    <w:rsid w:val="003D37D8"/>
    <w:rsid w:val="003E0B74"/>
    <w:rsid w:val="003E237C"/>
    <w:rsid w:val="003E3647"/>
    <w:rsid w:val="004212D6"/>
    <w:rsid w:val="00426133"/>
    <w:rsid w:val="004358AB"/>
    <w:rsid w:val="00435ED7"/>
    <w:rsid w:val="0045612F"/>
    <w:rsid w:val="00461E2C"/>
    <w:rsid w:val="004651D6"/>
    <w:rsid w:val="004824D6"/>
    <w:rsid w:val="00496E7F"/>
    <w:rsid w:val="004B63C1"/>
    <w:rsid w:val="004C0455"/>
    <w:rsid w:val="004D28C7"/>
    <w:rsid w:val="004D5589"/>
    <w:rsid w:val="004F2E1F"/>
    <w:rsid w:val="00500242"/>
    <w:rsid w:val="00511D6A"/>
    <w:rsid w:val="00521EC1"/>
    <w:rsid w:val="00523EB0"/>
    <w:rsid w:val="0052469F"/>
    <w:rsid w:val="0052730E"/>
    <w:rsid w:val="005311D1"/>
    <w:rsid w:val="00560BFB"/>
    <w:rsid w:val="0058474B"/>
    <w:rsid w:val="005E198D"/>
    <w:rsid w:val="00614084"/>
    <w:rsid w:val="00674E94"/>
    <w:rsid w:val="00675DDC"/>
    <w:rsid w:val="00680BD8"/>
    <w:rsid w:val="00692091"/>
    <w:rsid w:val="006923ED"/>
    <w:rsid w:val="006938E4"/>
    <w:rsid w:val="006C4F16"/>
    <w:rsid w:val="006C60EC"/>
    <w:rsid w:val="006D5D55"/>
    <w:rsid w:val="006E0A1A"/>
    <w:rsid w:val="00705E7A"/>
    <w:rsid w:val="00707B44"/>
    <w:rsid w:val="00730BD7"/>
    <w:rsid w:val="00733DAC"/>
    <w:rsid w:val="00735168"/>
    <w:rsid w:val="00740CB2"/>
    <w:rsid w:val="0074637D"/>
    <w:rsid w:val="00754FA3"/>
    <w:rsid w:val="00765CD1"/>
    <w:rsid w:val="007712DD"/>
    <w:rsid w:val="00771D21"/>
    <w:rsid w:val="0077320A"/>
    <w:rsid w:val="007776A6"/>
    <w:rsid w:val="00777A2D"/>
    <w:rsid w:val="007964C9"/>
    <w:rsid w:val="007A2CE3"/>
    <w:rsid w:val="00822CE9"/>
    <w:rsid w:val="0082564C"/>
    <w:rsid w:val="00833B7B"/>
    <w:rsid w:val="0086144F"/>
    <w:rsid w:val="008800A3"/>
    <w:rsid w:val="0089083F"/>
    <w:rsid w:val="008B7726"/>
    <w:rsid w:val="008E49EB"/>
    <w:rsid w:val="008E4C0E"/>
    <w:rsid w:val="008F2A4C"/>
    <w:rsid w:val="008F5B22"/>
    <w:rsid w:val="00921E21"/>
    <w:rsid w:val="009672DB"/>
    <w:rsid w:val="00974F03"/>
    <w:rsid w:val="00997CC2"/>
    <w:rsid w:val="009A1433"/>
    <w:rsid w:val="009B0854"/>
    <w:rsid w:val="009D2FE4"/>
    <w:rsid w:val="009F0AA0"/>
    <w:rsid w:val="00A030B5"/>
    <w:rsid w:val="00A20A9F"/>
    <w:rsid w:val="00A46B27"/>
    <w:rsid w:val="00A7257C"/>
    <w:rsid w:val="00A73673"/>
    <w:rsid w:val="00A73F2B"/>
    <w:rsid w:val="00AC18F3"/>
    <w:rsid w:val="00AC4830"/>
    <w:rsid w:val="00AF2B14"/>
    <w:rsid w:val="00B04FF7"/>
    <w:rsid w:val="00B17F24"/>
    <w:rsid w:val="00B31121"/>
    <w:rsid w:val="00B52C6C"/>
    <w:rsid w:val="00B7226A"/>
    <w:rsid w:val="00B72E99"/>
    <w:rsid w:val="00BB7E4D"/>
    <w:rsid w:val="00BC5CE5"/>
    <w:rsid w:val="00BD4141"/>
    <w:rsid w:val="00BD6BB8"/>
    <w:rsid w:val="00BF11F6"/>
    <w:rsid w:val="00C0351D"/>
    <w:rsid w:val="00C45DD4"/>
    <w:rsid w:val="00C52C9D"/>
    <w:rsid w:val="00C65A47"/>
    <w:rsid w:val="00C76F7A"/>
    <w:rsid w:val="00C77384"/>
    <w:rsid w:val="00C90DFF"/>
    <w:rsid w:val="00C90FD6"/>
    <w:rsid w:val="00CB2748"/>
    <w:rsid w:val="00CD4EDE"/>
    <w:rsid w:val="00D31D50"/>
    <w:rsid w:val="00D32235"/>
    <w:rsid w:val="00D36E16"/>
    <w:rsid w:val="00DC042C"/>
    <w:rsid w:val="00DE0441"/>
    <w:rsid w:val="00DF360E"/>
    <w:rsid w:val="00E05CCC"/>
    <w:rsid w:val="00E05D99"/>
    <w:rsid w:val="00E47BCF"/>
    <w:rsid w:val="00E6511D"/>
    <w:rsid w:val="00E75051"/>
    <w:rsid w:val="00E86327"/>
    <w:rsid w:val="00E8795B"/>
    <w:rsid w:val="00E94E03"/>
    <w:rsid w:val="00EE3A8A"/>
    <w:rsid w:val="00EE569A"/>
    <w:rsid w:val="00EE6C3E"/>
    <w:rsid w:val="00F02B33"/>
    <w:rsid w:val="00F05259"/>
    <w:rsid w:val="00F06581"/>
    <w:rsid w:val="00F412C7"/>
    <w:rsid w:val="00F42070"/>
    <w:rsid w:val="00F47786"/>
    <w:rsid w:val="00F738A0"/>
    <w:rsid w:val="00F84DF9"/>
    <w:rsid w:val="00FB2773"/>
    <w:rsid w:val="00FC1C20"/>
    <w:rsid w:val="00FD34E5"/>
    <w:rsid w:val="00FE15D7"/>
    <w:rsid w:val="00FF74EC"/>
    <w:rsid w:val="014063FE"/>
    <w:rsid w:val="01A76327"/>
    <w:rsid w:val="02513212"/>
    <w:rsid w:val="029F6CDD"/>
    <w:rsid w:val="037F0EE3"/>
    <w:rsid w:val="04F737D2"/>
    <w:rsid w:val="050943CE"/>
    <w:rsid w:val="0859133B"/>
    <w:rsid w:val="08881D46"/>
    <w:rsid w:val="08907C6B"/>
    <w:rsid w:val="0923030D"/>
    <w:rsid w:val="09677913"/>
    <w:rsid w:val="09B8225B"/>
    <w:rsid w:val="0A2512AD"/>
    <w:rsid w:val="0A402FCB"/>
    <w:rsid w:val="0AD017AE"/>
    <w:rsid w:val="0B121812"/>
    <w:rsid w:val="0B2E26DD"/>
    <w:rsid w:val="0BFF2B5B"/>
    <w:rsid w:val="0CA406DA"/>
    <w:rsid w:val="0DEC6E6B"/>
    <w:rsid w:val="0E001EC5"/>
    <w:rsid w:val="0E1B48DF"/>
    <w:rsid w:val="0E1C2CAB"/>
    <w:rsid w:val="0E642D34"/>
    <w:rsid w:val="10497875"/>
    <w:rsid w:val="10727B69"/>
    <w:rsid w:val="10D66437"/>
    <w:rsid w:val="111B1380"/>
    <w:rsid w:val="120C7C36"/>
    <w:rsid w:val="14161BDA"/>
    <w:rsid w:val="155A6F14"/>
    <w:rsid w:val="156B1D0D"/>
    <w:rsid w:val="15DD2016"/>
    <w:rsid w:val="16A10FBD"/>
    <w:rsid w:val="16DA0303"/>
    <w:rsid w:val="175C6F6A"/>
    <w:rsid w:val="184E6787"/>
    <w:rsid w:val="186566FB"/>
    <w:rsid w:val="19287A4C"/>
    <w:rsid w:val="19765848"/>
    <w:rsid w:val="1A052361"/>
    <w:rsid w:val="1A5F2FF9"/>
    <w:rsid w:val="1A9D697C"/>
    <w:rsid w:val="1BF019B5"/>
    <w:rsid w:val="1C625023"/>
    <w:rsid w:val="1C7F5BD5"/>
    <w:rsid w:val="1F0060BE"/>
    <w:rsid w:val="1F864901"/>
    <w:rsid w:val="20512744"/>
    <w:rsid w:val="21134B3E"/>
    <w:rsid w:val="213E5254"/>
    <w:rsid w:val="21BE0F4D"/>
    <w:rsid w:val="225253CA"/>
    <w:rsid w:val="24A3442A"/>
    <w:rsid w:val="24E61208"/>
    <w:rsid w:val="25001C1A"/>
    <w:rsid w:val="25B52764"/>
    <w:rsid w:val="27E014F2"/>
    <w:rsid w:val="28773329"/>
    <w:rsid w:val="28831CCD"/>
    <w:rsid w:val="28942A08"/>
    <w:rsid w:val="29D060F0"/>
    <w:rsid w:val="2B9920E3"/>
    <w:rsid w:val="2BAE4744"/>
    <w:rsid w:val="2D297F1C"/>
    <w:rsid w:val="2D480265"/>
    <w:rsid w:val="2D6D1A79"/>
    <w:rsid w:val="2D86440A"/>
    <w:rsid w:val="2DC7118A"/>
    <w:rsid w:val="2E232138"/>
    <w:rsid w:val="2EEE2BF6"/>
    <w:rsid w:val="2F956CB1"/>
    <w:rsid w:val="2F994EEF"/>
    <w:rsid w:val="30A509A4"/>
    <w:rsid w:val="30EE4C7F"/>
    <w:rsid w:val="31F7639F"/>
    <w:rsid w:val="32DC56D7"/>
    <w:rsid w:val="33E4537C"/>
    <w:rsid w:val="34016362"/>
    <w:rsid w:val="34325CCA"/>
    <w:rsid w:val="34543E9E"/>
    <w:rsid w:val="34F53A79"/>
    <w:rsid w:val="35690C92"/>
    <w:rsid w:val="359558BE"/>
    <w:rsid w:val="36A7742C"/>
    <w:rsid w:val="372F5DD0"/>
    <w:rsid w:val="38C67B15"/>
    <w:rsid w:val="390E5EBF"/>
    <w:rsid w:val="3AE67CE3"/>
    <w:rsid w:val="3B4756B8"/>
    <w:rsid w:val="3BF97851"/>
    <w:rsid w:val="3C4151D1"/>
    <w:rsid w:val="3D5F0C91"/>
    <w:rsid w:val="3D861CFA"/>
    <w:rsid w:val="3DAE5EC2"/>
    <w:rsid w:val="3E0E4BB3"/>
    <w:rsid w:val="3E726EF0"/>
    <w:rsid w:val="4047615A"/>
    <w:rsid w:val="41F744BB"/>
    <w:rsid w:val="436D4BCF"/>
    <w:rsid w:val="44C763DB"/>
    <w:rsid w:val="45E85CE9"/>
    <w:rsid w:val="45FD1795"/>
    <w:rsid w:val="46096783"/>
    <w:rsid w:val="464E1D73"/>
    <w:rsid w:val="46AC50DD"/>
    <w:rsid w:val="47E50732"/>
    <w:rsid w:val="48494721"/>
    <w:rsid w:val="48A46489"/>
    <w:rsid w:val="48E931C6"/>
    <w:rsid w:val="49EC3FFA"/>
    <w:rsid w:val="4A0C18D0"/>
    <w:rsid w:val="4A361719"/>
    <w:rsid w:val="4A794A27"/>
    <w:rsid w:val="4B4D4D76"/>
    <w:rsid w:val="4C4836B1"/>
    <w:rsid w:val="4C9F2E53"/>
    <w:rsid w:val="4CB132D9"/>
    <w:rsid w:val="4D153868"/>
    <w:rsid w:val="4D3D106C"/>
    <w:rsid w:val="4F552641"/>
    <w:rsid w:val="4FB13E1E"/>
    <w:rsid w:val="4FC8154E"/>
    <w:rsid w:val="50650662"/>
    <w:rsid w:val="50F2622B"/>
    <w:rsid w:val="51BB7BC0"/>
    <w:rsid w:val="53E126F6"/>
    <w:rsid w:val="54D17B26"/>
    <w:rsid w:val="55165BEC"/>
    <w:rsid w:val="56D25E0E"/>
    <w:rsid w:val="56E57784"/>
    <w:rsid w:val="57F347A6"/>
    <w:rsid w:val="585D0252"/>
    <w:rsid w:val="58B04673"/>
    <w:rsid w:val="591A2206"/>
    <w:rsid w:val="59514BB9"/>
    <w:rsid w:val="596E21A8"/>
    <w:rsid w:val="599967D2"/>
    <w:rsid w:val="5A2768B9"/>
    <w:rsid w:val="5A731326"/>
    <w:rsid w:val="5C1F5FF9"/>
    <w:rsid w:val="5C476EBF"/>
    <w:rsid w:val="5E0105E4"/>
    <w:rsid w:val="5E2C0A11"/>
    <w:rsid w:val="5E9345EC"/>
    <w:rsid w:val="5EAA7B88"/>
    <w:rsid w:val="5F053010"/>
    <w:rsid w:val="60133B9E"/>
    <w:rsid w:val="60CC4879"/>
    <w:rsid w:val="61453B98"/>
    <w:rsid w:val="616E1341"/>
    <w:rsid w:val="61AB60F1"/>
    <w:rsid w:val="62417FA7"/>
    <w:rsid w:val="627B1F67"/>
    <w:rsid w:val="635438B3"/>
    <w:rsid w:val="63677E14"/>
    <w:rsid w:val="640936B0"/>
    <w:rsid w:val="646F5042"/>
    <w:rsid w:val="64900731"/>
    <w:rsid w:val="649754C7"/>
    <w:rsid w:val="64B11C70"/>
    <w:rsid w:val="65624D19"/>
    <w:rsid w:val="65B0017A"/>
    <w:rsid w:val="66195D1F"/>
    <w:rsid w:val="6627445C"/>
    <w:rsid w:val="66501015"/>
    <w:rsid w:val="66B22BE2"/>
    <w:rsid w:val="66DB2FD4"/>
    <w:rsid w:val="66FF44B9"/>
    <w:rsid w:val="67C73559"/>
    <w:rsid w:val="67F32CE3"/>
    <w:rsid w:val="68A20BB0"/>
    <w:rsid w:val="69A86B8E"/>
    <w:rsid w:val="6A2C3B47"/>
    <w:rsid w:val="6A4343A2"/>
    <w:rsid w:val="6B324A46"/>
    <w:rsid w:val="6C922387"/>
    <w:rsid w:val="6D71341E"/>
    <w:rsid w:val="6DF67880"/>
    <w:rsid w:val="6E8C0A59"/>
    <w:rsid w:val="6FBD596D"/>
    <w:rsid w:val="6FD607DD"/>
    <w:rsid w:val="702A30D7"/>
    <w:rsid w:val="70375D81"/>
    <w:rsid w:val="71AF7537"/>
    <w:rsid w:val="71D169E3"/>
    <w:rsid w:val="72A45461"/>
    <w:rsid w:val="72AA5143"/>
    <w:rsid w:val="72D45E64"/>
    <w:rsid w:val="73630F3C"/>
    <w:rsid w:val="7395739F"/>
    <w:rsid w:val="744F1407"/>
    <w:rsid w:val="74CC6652"/>
    <w:rsid w:val="75331B60"/>
    <w:rsid w:val="754C7DF5"/>
    <w:rsid w:val="755723C0"/>
    <w:rsid w:val="75ED2BAE"/>
    <w:rsid w:val="764B33C6"/>
    <w:rsid w:val="766528C8"/>
    <w:rsid w:val="77291B3A"/>
    <w:rsid w:val="789375F8"/>
    <w:rsid w:val="78B83F05"/>
    <w:rsid w:val="78EC5E80"/>
    <w:rsid w:val="79A90D10"/>
    <w:rsid w:val="79B53B59"/>
    <w:rsid w:val="7A621C05"/>
    <w:rsid w:val="7A6D2551"/>
    <w:rsid w:val="7B046BAE"/>
    <w:rsid w:val="7B160627"/>
    <w:rsid w:val="7BD36518"/>
    <w:rsid w:val="7C986F79"/>
    <w:rsid w:val="7DA71A0B"/>
    <w:rsid w:val="7DC96DD6"/>
    <w:rsid w:val="7DF804B8"/>
    <w:rsid w:val="7F660E2C"/>
    <w:rsid w:val="7F89586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2"/>
    <w:basedOn w:val="1"/>
    <w:next w:val="1"/>
    <w:qFormat/>
    <w:locked/>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qFormat/>
    <w:uiPriority w:val="99"/>
    <w:pPr>
      <w:tabs>
        <w:tab w:val="center" w:pos="4153"/>
        <w:tab w:val="right" w:pos="8306"/>
      </w:tabs>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8">
    <w:name w:val="页脚 Char"/>
    <w:basedOn w:val="7"/>
    <w:link w:val="3"/>
    <w:semiHidden/>
    <w:qFormat/>
    <w:locked/>
    <w:uiPriority w:val="99"/>
    <w:rPr>
      <w:rFonts w:ascii="Tahoma" w:hAnsi="Tahoma" w:cs="Times New Roman"/>
      <w:sz w:val="18"/>
      <w:szCs w:val="18"/>
    </w:rPr>
  </w:style>
  <w:style w:type="character" w:customStyle="1" w:styleId="9">
    <w:name w:val="页眉 Char"/>
    <w:basedOn w:val="7"/>
    <w:link w:val="4"/>
    <w:semiHidden/>
    <w:qFormat/>
    <w:locked/>
    <w:uiPriority w:val="99"/>
    <w:rPr>
      <w:rFonts w:ascii="Tahoma" w:hAnsi="Tahoma"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0A8DC2-3A71-4448-AFD8-1AE55AB6FBFB}">
  <ds:schemaRefs/>
</ds:datastoreItem>
</file>

<file path=docProps/app.xml><?xml version="1.0" encoding="utf-8"?>
<Properties xmlns="http://schemas.openxmlformats.org/officeDocument/2006/extended-properties" xmlns:vt="http://schemas.openxmlformats.org/officeDocument/2006/docPropsVTypes">
  <Template>Normal</Template>
  <Pages>20</Pages>
  <Words>10237</Words>
  <Characters>10624</Characters>
  <Lines>51</Lines>
  <Paragraphs>14</Paragraphs>
  <TotalTime>117</TotalTime>
  <ScaleCrop>false</ScaleCrop>
  <LinksUpToDate>false</LinksUpToDate>
  <CharactersWithSpaces>10631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2023-06-27T04:42:54Z</cp:lastPrinted>
  <dcterms:modified xsi:type="dcterms:W3CDTF">2023-06-27T06:26:04Z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64D2C50C182945B9894DF589EC8CCA93</vt:lpwstr>
  </property>
</Properties>
</file>