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方正小标宋_GBK" w:hAnsi="方正小标宋_GBK" w:eastAsia="方正小标宋_GBK" w:cs="方正小标宋_GBK"/>
          <w:i w:val="0"/>
          <w:iCs w:val="0"/>
          <w:caps w:val="0"/>
          <w:color w:val="000000"/>
          <w:spacing w:val="0"/>
          <w:sz w:val="44"/>
          <w:szCs w:val="44"/>
          <w:shd w:val="clear"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方正小标宋_GBK" w:hAnsi="方正小标宋_GBK" w:eastAsia="方正小标宋_GBK" w:cs="方正小标宋_GBK"/>
          <w:i w:val="0"/>
          <w:iCs w:val="0"/>
          <w:caps w:val="0"/>
          <w:color w:val="000000"/>
          <w:spacing w:val="0"/>
          <w:sz w:val="44"/>
          <w:szCs w:val="44"/>
          <w:shd w:val="clear"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方正小标宋_GBK" w:hAnsi="方正小标宋_GBK" w:eastAsia="方正小标宋_GBK" w:cs="方正小标宋_GBK"/>
          <w:i w:val="0"/>
          <w:iCs w:val="0"/>
          <w:caps w:val="0"/>
          <w:color w:val="000000"/>
          <w:spacing w:val="0"/>
          <w:sz w:val="44"/>
          <w:szCs w:val="44"/>
          <w:shd w:val="clear"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方正小标宋_GBK" w:hAnsi="方正小标宋_GBK" w:eastAsia="方正小标宋_GBK" w:cs="方正小标宋_GBK"/>
          <w:i w:val="0"/>
          <w:iCs w:val="0"/>
          <w:caps w:val="0"/>
          <w:color w:val="000000"/>
          <w:spacing w:val="0"/>
          <w:sz w:val="44"/>
          <w:szCs w:val="44"/>
        </w:rPr>
      </w:pPr>
      <w:r>
        <w:rPr>
          <w:rFonts w:hint="eastAsia" w:ascii="方正小标宋_GBK" w:hAnsi="方正小标宋_GBK" w:eastAsia="方正小标宋_GBK" w:cs="方正小标宋_GBK"/>
          <w:i w:val="0"/>
          <w:iCs w:val="0"/>
          <w:caps w:val="0"/>
          <w:color w:val="000000"/>
          <w:spacing w:val="0"/>
          <w:sz w:val="44"/>
          <w:szCs w:val="44"/>
          <w:shd w:val="clear" w:fill="FFFFFF"/>
        </w:rPr>
        <w:t>部门整体支出绩效自评报告</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方正小标宋_GBK" w:hAnsi="方正小标宋_GBK" w:eastAsia="方正小标宋_GBK" w:cs="方正小标宋_GBK"/>
          <w:i w:val="0"/>
          <w:iCs w:val="0"/>
          <w:caps w:val="0"/>
          <w:color w:val="000000"/>
          <w:spacing w:val="0"/>
          <w:sz w:val="24"/>
          <w:szCs w:val="24"/>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一、部门、单位基本情况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（一）机构设置情况</w:t>
      </w:r>
    </w:p>
    <w:p>
      <w:pPr>
        <w:keepNext w:val="0"/>
        <w:keepLines w:val="0"/>
        <w:pageBreakBefore w:val="0"/>
        <w:widowControl/>
        <w:kinsoku/>
        <w:wordWrap/>
        <w:overflowPunct/>
        <w:topLinePunct w:val="0"/>
        <w:autoSpaceDE/>
        <w:autoSpaceDN/>
        <w:bidi w:val="0"/>
        <w:spacing w:beforeAutospacing="0" w:after="0" w:afterAutospacing="0" w:line="580" w:lineRule="exact"/>
        <w:ind w:firstLine="64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机构设置：</w:t>
      </w:r>
      <w:r>
        <w:rPr>
          <w:rFonts w:hint="eastAsia" w:ascii="仿宋_GB2312" w:hAnsi="仿宋_GB2312" w:eastAsia="仿宋_GB2312" w:cs="仿宋_GB2312"/>
          <w:b w:val="0"/>
          <w:bCs w:val="0"/>
          <w:sz w:val="32"/>
          <w:szCs w:val="32"/>
          <w:lang w:eastAsia="zh-CN"/>
        </w:rPr>
        <w:t>怀化市民族宗教事务局</w:t>
      </w:r>
      <w:r>
        <w:rPr>
          <w:rFonts w:hint="eastAsia" w:ascii="仿宋_GB2312" w:hAnsi="仿宋_GB2312" w:eastAsia="仿宋_GB2312" w:cs="仿宋_GB2312"/>
          <w:b w:val="0"/>
          <w:bCs w:val="0"/>
          <w:sz w:val="32"/>
          <w:szCs w:val="32"/>
          <w:lang w:val="en-US" w:eastAsia="zh-CN"/>
        </w:rPr>
        <w:t>(简称市民宗局）</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个内设机构（办公室、民族政策法规</w:t>
      </w:r>
      <w:r>
        <w:rPr>
          <w:rFonts w:hint="eastAsia" w:ascii="仿宋_GB2312" w:hAnsi="仿宋_GB2312" w:eastAsia="仿宋_GB2312" w:cs="仿宋_GB2312"/>
          <w:sz w:val="32"/>
          <w:szCs w:val="32"/>
          <w:lang w:eastAsia="zh-CN"/>
        </w:rPr>
        <w:t>科（行政审批服务科）</w:t>
      </w:r>
      <w:r>
        <w:rPr>
          <w:rFonts w:hint="eastAsia" w:ascii="仿宋_GB2312" w:hAnsi="仿宋_GB2312" w:eastAsia="仿宋_GB2312" w:cs="仿宋_GB2312"/>
          <w:sz w:val="32"/>
          <w:szCs w:val="32"/>
        </w:rPr>
        <w:t>、民族文化教育科、民族经济发展科、宗教科、）及一个非独立核算的二级</w:t>
      </w:r>
      <w:r>
        <w:rPr>
          <w:rFonts w:hint="eastAsia" w:ascii="仿宋_GB2312" w:hAnsi="仿宋_GB2312" w:eastAsia="仿宋_GB2312" w:cs="仿宋_GB2312"/>
          <w:sz w:val="32"/>
          <w:szCs w:val="32"/>
          <w:lang w:eastAsia="zh-CN"/>
        </w:rPr>
        <w:t>怀化市民族研究和宗教事务中心</w:t>
      </w:r>
      <w:r>
        <w:rPr>
          <w:rFonts w:hint="eastAsia" w:ascii="仿宋_GB2312" w:hAnsi="仿宋_GB2312" w:eastAsia="仿宋_GB2312" w:cs="仿宋_GB2312"/>
          <w:sz w:val="32"/>
          <w:szCs w:val="32"/>
        </w:rPr>
        <w:t>。</w:t>
      </w:r>
    </w:p>
    <w:p>
      <w:pPr>
        <w:pStyle w:val="7"/>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人员编制情况</w:t>
      </w:r>
    </w:p>
    <w:p>
      <w:pPr>
        <w:keepNext w:val="0"/>
        <w:keepLines w:val="0"/>
        <w:pageBreakBefore w:val="0"/>
        <w:widowControl/>
        <w:kinsoku/>
        <w:wordWrap/>
        <w:overflowPunct/>
        <w:topLinePunct w:val="0"/>
        <w:autoSpaceDE/>
        <w:autoSpaceDN/>
        <w:bidi w:val="0"/>
        <w:spacing w:beforeAutospacing="0" w:after="0" w:afterAutospacing="0"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市民宗局现有在职人员</w:t>
      </w:r>
      <w:r>
        <w:rPr>
          <w:rFonts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人，退休人员</w:t>
      </w:r>
      <w:r>
        <w:rPr>
          <w:rFonts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人。</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default" w:ascii="楷体_GB2312" w:eastAsia="楷体_GB2312" w:cs="楷体_GB2312"/>
          <w:i w:val="0"/>
          <w:iCs w:val="0"/>
          <w:caps w:val="0"/>
          <w:color w:val="000000"/>
          <w:spacing w:val="0"/>
          <w:sz w:val="32"/>
          <w:szCs w:val="32"/>
          <w:shd w:val="clear"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（三）主要职能职责</w:t>
      </w:r>
    </w:p>
    <w:p>
      <w:pPr>
        <w:keepNext w:val="0"/>
        <w:keepLines w:val="0"/>
        <w:pageBreakBefore w:val="0"/>
        <w:widowControl/>
        <w:kinsoku/>
        <w:wordWrap/>
        <w:overflowPunct/>
        <w:topLinePunct w:val="0"/>
        <w:autoSpaceDE/>
        <w:autoSpaceDN/>
        <w:bidi w:val="0"/>
        <w:spacing w:beforeAutospacing="0" w:after="0" w:afterAutospacing="0" w:line="580" w:lineRule="exact"/>
        <w:ind w:firstLine="642"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主要职</w:t>
      </w:r>
      <w:r>
        <w:rPr>
          <w:rFonts w:hint="eastAsia" w:ascii="仿宋_GB2312" w:hAnsi="仿宋_GB2312" w:eastAsia="仿宋_GB2312" w:cs="仿宋_GB2312"/>
          <w:b/>
          <w:bCs/>
          <w:sz w:val="32"/>
          <w:szCs w:val="32"/>
          <w:lang w:eastAsia="zh-CN"/>
        </w:rPr>
        <w:t>能</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1、贯彻执行党和国家及省委、省政府关于民族宗教工作的方针、政策和法律、法规、规章，组织开展民族宗教重大问题和民族地区经济社会发展方面问题的调查研究工作，提出有关民族宗教工作的建议。2、开展民族宗教政策和法律法规的宣传教育工作。3、加强与各民族地区的联系和交往，组织开展周边地区民族联谊活动，参与协调维护民族地区社会稳定工作。4、研究分析少数民族和民族地区经济发展和社会事务方面的问题并提出建议，参与做好民族地区对口支援、经济技术合作、民族贸易、民族特需用品生产等工作。5、参与少数民族人才队伍、宗教工作队伍建设规划的制订和实施工作，协助有关部门做好少数民族干部的培养教育和推荐使用工作。6、负责全市宗教方面外事归口管理工作，协同有关部门处理宗教方面涉外事宜，帮助和指导宗教界开展同境外宗教界友好交往活动。7、负责管理全市性爱国宗教团体，搞好民主协商和合作共事关系。8、承办市人民政府交办的其他事项。</w:t>
      </w:r>
    </w:p>
    <w:p>
      <w:pPr>
        <w:pStyle w:val="7"/>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firstLine="0" w:firstLineChars="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绩效目标设定情况</w:t>
      </w:r>
    </w:p>
    <w:tbl>
      <w:tblPr>
        <w:tblStyle w:val="9"/>
        <w:tblW w:w="102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6"/>
        <w:gridCol w:w="1095"/>
        <w:gridCol w:w="546"/>
        <w:gridCol w:w="938"/>
        <w:gridCol w:w="746"/>
        <w:gridCol w:w="773"/>
        <w:gridCol w:w="690"/>
        <w:gridCol w:w="1801"/>
        <w:gridCol w:w="1836"/>
        <w:gridCol w:w="6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10200" w:type="dxa"/>
            <w:gridSpan w:val="10"/>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Arial Unicode MS" w:hAnsi="Arial Unicode MS" w:eastAsia="Arial Unicode MS" w:cs="Arial Unicode MS"/>
                <w:i w:val="0"/>
                <w:iCs w:val="0"/>
                <w:color w:val="000000"/>
                <w:sz w:val="36"/>
                <w:szCs w:val="36"/>
                <w:u w:val="none"/>
              </w:rPr>
            </w:pPr>
            <w:r>
              <w:rPr>
                <w:rFonts w:hint="eastAsia" w:ascii="Arial Unicode MS" w:hAnsi="Arial Unicode MS" w:eastAsia="Arial Unicode MS" w:cs="Arial Unicode MS"/>
                <w:i w:val="0"/>
                <w:iCs w:val="0"/>
                <w:color w:val="000000"/>
                <w:kern w:val="0"/>
                <w:sz w:val="36"/>
                <w:szCs w:val="36"/>
                <w:u w:val="none"/>
                <w:lang w:val="en-US" w:eastAsia="zh-CN" w:bidi="ar"/>
              </w:rPr>
              <w:t>整体绩效目标申报表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275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部门（单位）名称</w:t>
            </w:r>
          </w:p>
        </w:tc>
        <w:tc>
          <w:tcPr>
            <w:tcW w:w="7443"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怀化市民族宗教事务局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jc w:val="center"/>
        </w:trPr>
        <w:tc>
          <w:tcPr>
            <w:tcW w:w="27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部门（单位）职责</w:t>
            </w:r>
          </w:p>
        </w:tc>
        <w:tc>
          <w:tcPr>
            <w:tcW w:w="744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贯彻执行党和国家关于民族宗教工作的法律、法规、方针、政策;组织开展民族宗教重大问题和民族地区经济社会发展方面问题的调查研究工作，提出有关民族宗教工作的建议；2.开展民族宗教政策和法律法规的宣传教育工作；3.加强与各民族地区的联系和交往，组织开展周边地区民族联谊活动，参与协调维护民族地区社会稳定工作；研究分析少数民族和民族地区经济发展和社会事务方面的问题并提出建议，参与做好民族地区对口支援、经济技术合作、民族贸易、民族特需用品生产等工作；4.开展少数民族文化的保护，发展和传承工作；参与少数民族人才队伍、宗教工作队伍建设规划的制订和实施工作，协助有关部门做好少数民族干部的培养教育和推荐使用工作；5.负责全市宗教方面外事归口管理工作，协同有关部门处理宗教方面涉外事宜，帮助和指导宗教界开展同境外宗教界友好交往活动；6.负责管理全市爱国宗教团体，搞好民主协商和合作共事关系；7.承办市人民政府交办的其他事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jc w:val="center"/>
        </w:trPr>
        <w:tc>
          <w:tcPr>
            <w:tcW w:w="27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744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着力推动全市民族工作高质量发展，全面推进民族团结进步事业，筑牢中华民族共同体意识宣传和推广力度。2.加强少数民族文化，体育的保护，传承和推广，3.支持民族乡不断完善基础设施建设、发展壮大经济产业，推进社会事业发展。5.力争我市在2023年获得国家民委“全国民族团结进步示范市”命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02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绩效指标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1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指标值类型</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指标值</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1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指标解释</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评（扣）分标准</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40" w:hRule="atLeast"/>
          <w:jc w:val="center"/>
        </w:trPr>
        <w:tc>
          <w:tcPr>
            <w:tcW w:w="11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产出指标(50分)</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创成全国民族团结进步示范市，圆满完成罗子山40周年乡庆，圆满完成2023年度高考享受民族优惠政策加分资格审查工作，规范宗教行政执法队伍建设，出台相关文件。（10分）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定量</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完成</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4次</w:t>
            </w:r>
          </w:p>
        </w:tc>
        <w:tc>
          <w:tcPr>
            <w:tcW w:w="1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计划重点工作完成次数</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少完成1次扣2分，扣完为止。</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jc w:val="center"/>
        </w:trPr>
        <w:tc>
          <w:tcPr>
            <w:tcW w:w="11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工作任务完成达标率（10分）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整体工作质量考核。全市绩效评比考核良好以上</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验收合格率100%，得15分，每下降1%扣0.5分，扣完为止。</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jc w:val="center"/>
        </w:trPr>
        <w:tc>
          <w:tcPr>
            <w:tcW w:w="11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工作任务完成及时率（10分）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2023年12月之前完成</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w:t>
            </w:r>
          </w:p>
        </w:tc>
        <w:tc>
          <w:tcPr>
            <w:tcW w:w="1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考核整体时效性。</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在2023年12月前完成，得15分，超时1个月内完成得10分，超过6个月后不得分。</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jc w:val="center"/>
        </w:trPr>
        <w:tc>
          <w:tcPr>
            <w:tcW w:w="11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预算执行率（20分）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成本节约率＝(计划成本-实际成本) /计划成本×100%。</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成本控制在总成本范围内，得15分，每下降1%，扣0.5分，扣完为止。</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11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效益指标（40分）</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推动民族乡经济产业发展壮大（10分）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效果明显</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w:t>
            </w:r>
          </w:p>
        </w:tc>
        <w:tc>
          <w:tcPr>
            <w:tcW w:w="1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考核民族乡经济产业发展情况。</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经济发展效果明显得10分，效果良好得8分，效果一般得5分，效果不明显不得分。</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11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民族宗教领域的和谐稳定（30分）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效果明显</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起数</w:t>
            </w:r>
          </w:p>
        </w:tc>
        <w:tc>
          <w:tcPr>
            <w:tcW w:w="1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考核民族宗教领域的和谐稳定情况。</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民族宗教领域和谐稳定得30分，发生一起涉民族，宗教领域重大的安全维稳事件扣4分。超过5起不得分。</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jc w:val="center"/>
        </w:trPr>
        <w:tc>
          <w:tcPr>
            <w:tcW w:w="11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w:t>
            </w:r>
          </w:p>
        </w:tc>
        <w:tc>
          <w:tcPr>
            <w:tcW w:w="1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jc w:val="center"/>
        </w:trPr>
        <w:tc>
          <w:tcPr>
            <w:tcW w:w="11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可持续影响情况（10分）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效果明显</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w:t>
            </w:r>
          </w:p>
        </w:tc>
        <w:tc>
          <w:tcPr>
            <w:tcW w:w="1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考核整体支出对民族，宗教领域和谐稳定可持续发展所带来的直接或间接影响情况。</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可持续影响效果明显得10分，效果一般5分，效果不明显不得分。</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jc w:val="center"/>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社会公众满意度（10分）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定量</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名次</w:t>
            </w:r>
          </w:p>
        </w:tc>
        <w:tc>
          <w:tcPr>
            <w:tcW w:w="1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综治民调排名</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排名在全市前50名，每超过1名扣1分。</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r>
    </w:tbl>
    <w:p>
      <w:pPr>
        <w:keepNext w:val="0"/>
        <w:keepLines w:val="0"/>
        <w:pageBreakBefore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二、部门整体支出管理及使用情况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w:t>
      </w:r>
      <w:r>
        <w:rPr>
          <w:rFonts w:hint="eastAsia" w:ascii="楷体_GB2312" w:eastAsia="楷体_GB2312" w:cs="楷体_GB2312"/>
          <w:i w:val="0"/>
          <w:iCs w:val="0"/>
          <w:caps w:val="0"/>
          <w:color w:val="000000"/>
          <w:spacing w:val="0"/>
          <w:sz w:val="32"/>
          <w:szCs w:val="32"/>
          <w:shd w:val="clear" w:fill="FFFFFF"/>
        </w:rPr>
        <w:t>预算执行、使用、管理总体情况。</w:t>
      </w:r>
    </w:p>
    <w:p>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kern w:val="2"/>
          <w:sz w:val="32"/>
          <w:szCs w:val="32"/>
          <w:u w:val="none"/>
          <w:lang w:val="en-US" w:eastAsia="zh-CN" w:bidi="ar-SA"/>
        </w:rPr>
      </w:pPr>
      <w:r>
        <w:rPr>
          <w:rFonts w:hint="eastAsia" w:ascii="仿宋_GB2312" w:hAnsi="仿宋_GB2312" w:eastAsia="仿宋_GB2312" w:cs="仿宋_GB2312"/>
          <w:kern w:val="2"/>
          <w:sz w:val="32"/>
          <w:szCs w:val="32"/>
          <w:u w:val="none"/>
          <w:lang w:val="en-US" w:eastAsia="zh-CN" w:bidi="ar-SA"/>
        </w:rPr>
        <w:t>2023年，在省民宗委的悉心指导和市委市政府的正确领导下，怀化始终围绕中心、服务大局，坚持以推动新时代民宗工作高质量发展为主题，如期创成全国民族团结进步示范市，积极引导宗教与社会主义社会相适应，全市民宗领域持续保持和谐和顺稳定。</w:t>
      </w:r>
    </w:p>
    <w:p>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1、深入学习宣传贯彻习近平新时代中国特色社会主义思想和党的二十大精神，坚定拥护“两个确立”、坚决做到“两个维护”</w:t>
      </w:r>
    </w:p>
    <w:p>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rightChars="0" w:firstLine="642"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一是加强理论学习。</w:t>
      </w:r>
      <w:r>
        <w:rPr>
          <w:rFonts w:hint="eastAsia" w:ascii="仿宋_GB2312" w:hAnsi="仿宋_GB2312" w:eastAsia="仿宋_GB2312" w:cs="仿宋_GB2312"/>
          <w:color w:val="auto"/>
          <w:sz w:val="32"/>
          <w:szCs w:val="32"/>
          <w:lang w:val="en-US" w:eastAsia="zh-CN"/>
        </w:rPr>
        <w:t>2023年召开党组理论学习中心组会议12次、党组会议18次，第一时间传达学习习近平总书记系列重要讲话重要指示批示精神，特别是认真学习了中央民族工作、全国宗教工作会议精神，当好市委政府参谋，出台了贯彻落实会议精神的两项实施方案，推动学习贯彻习近平新时代中国特色社会主义思想往深里走、往心里走、往实里走。</w:t>
      </w:r>
      <w:r>
        <w:rPr>
          <w:rFonts w:hint="eastAsia" w:ascii="仿宋_GB2312" w:hAnsi="仿宋_GB2312" w:eastAsia="仿宋_GB2312" w:cs="仿宋_GB2312"/>
          <w:b/>
          <w:bCs/>
          <w:color w:val="auto"/>
          <w:sz w:val="32"/>
          <w:szCs w:val="32"/>
          <w:lang w:val="en-US" w:eastAsia="zh-CN"/>
        </w:rPr>
        <w:t>二是全面落实党的二十大精神。</w:t>
      </w:r>
      <w:r>
        <w:rPr>
          <w:rFonts w:hint="eastAsia" w:ascii="仿宋_GB2312" w:hAnsi="仿宋_GB2312" w:eastAsia="仿宋_GB2312" w:cs="仿宋_GB2312"/>
          <w:color w:val="auto"/>
          <w:sz w:val="32"/>
          <w:szCs w:val="32"/>
          <w:lang w:val="en-US" w:eastAsia="zh-CN"/>
        </w:rPr>
        <w:t>坚持学思用贯通、知信行统一，将党的二十大精神纳入全体干部职工必学内容，纳入基层民宗干部培训内容，纳入宗教活动场所“五进五好”活动内容，切实将全市民族宗教领域的思想和行动统一到党的二十大精神上来，把力量凝聚到二十大确定的各项任务上来。</w:t>
      </w:r>
      <w:r>
        <w:rPr>
          <w:rFonts w:hint="eastAsia" w:ascii="仿宋_GB2312" w:hAnsi="仿宋_GB2312" w:eastAsia="仿宋_GB2312" w:cs="仿宋_GB2312"/>
          <w:b/>
          <w:bCs/>
          <w:color w:val="auto"/>
          <w:sz w:val="32"/>
          <w:szCs w:val="32"/>
          <w:lang w:val="en-US" w:eastAsia="zh-CN"/>
        </w:rPr>
        <w:t>三是扎实开展主题教育。</w:t>
      </w:r>
      <w:r>
        <w:rPr>
          <w:rFonts w:hint="eastAsia" w:ascii="仿宋_GB2312" w:hAnsi="仿宋_GB2312" w:eastAsia="仿宋_GB2312" w:cs="仿宋_GB2312"/>
          <w:color w:val="auto"/>
          <w:sz w:val="32"/>
          <w:szCs w:val="32"/>
          <w:lang w:val="en-US" w:eastAsia="zh-CN"/>
        </w:rPr>
        <w:t>紧扣“学思想、强党性、重实践、建新功”要求，高标准开展学习贯彻习近平新时代中国特色社会主义思想主题教育，举办专题读书班1期，开展集中学习研讨4次，开展“走基层、找问题、想办法、促发展”调查研究30余次，推动解决群众急难愁盼问题20余项。</w:t>
      </w:r>
      <w:r>
        <w:rPr>
          <w:rFonts w:hint="eastAsia" w:ascii="仿宋_GB2312" w:hAnsi="仿宋_GB2312" w:eastAsia="仿宋_GB2312" w:cs="仿宋_GB2312"/>
          <w:b/>
          <w:bCs/>
          <w:color w:val="auto"/>
          <w:sz w:val="32"/>
          <w:szCs w:val="32"/>
          <w:lang w:val="en-US" w:eastAsia="zh-CN"/>
        </w:rPr>
        <w:t>四是顺利完成“两项督查”反馈问题整改。</w:t>
      </w:r>
      <w:r>
        <w:rPr>
          <w:rFonts w:hint="eastAsia" w:ascii="仿宋_GB2312" w:hAnsi="仿宋_GB2312" w:eastAsia="仿宋_GB2312" w:cs="仿宋_GB2312"/>
          <w:color w:val="auto"/>
          <w:sz w:val="32"/>
          <w:szCs w:val="32"/>
          <w:lang w:val="en-US" w:eastAsia="zh-CN"/>
        </w:rPr>
        <w:t>中央民族工作会议精神检查暨宗教工作督查指出湖南省的4个方面12项具体问题，省委有关统战工作重要会议和重要文件精神综合督查反馈怀化民族宗教类5个问题，现已全面整改到位。在全省迎接中央督查会议上，市委忠建书记在全省会议上作经验交流发言。</w:t>
      </w:r>
      <w:r>
        <w:rPr>
          <w:rFonts w:hint="eastAsia" w:ascii="仿宋_GB2312" w:hAnsi="仿宋_GB2312" w:eastAsia="仿宋_GB2312" w:cs="仿宋_GB2312"/>
          <w:b/>
          <w:bCs/>
          <w:color w:val="auto"/>
          <w:sz w:val="32"/>
          <w:szCs w:val="32"/>
          <w:lang w:val="en-US" w:eastAsia="zh-CN"/>
        </w:rPr>
        <w:t>五是宣传工作再上新台阶。</w:t>
      </w:r>
      <w:r>
        <w:rPr>
          <w:rFonts w:hint="eastAsia" w:ascii="仿宋_GB2312" w:hAnsi="仿宋_GB2312" w:eastAsia="仿宋_GB2312" w:cs="仿宋_GB2312"/>
          <w:color w:val="auto"/>
          <w:sz w:val="32"/>
          <w:szCs w:val="32"/>
          <w:lang w:val="en-US" w:eastAsia="zh-CN"/>
        </w:rPr>
        <w:t>在着力强化全系统、全领域理论宣传的同时，积极报送贯彻落实习近平总书记关于加强和改进民族工作的重要思想、关于宗教工作重要论述的典型做法。2023年，宣传信息获国家民委、省政</w:t>
      </w:r>
      <w:r>
        <w:rPr>
          <w:rFonts w:hint="eastAsia" w:ascii="仿宋_GB2312" w:hAnsi="仿宋_GB2312" w:eastAsia="仿宋_GB2312" w:cs="仿宋_GB2312"/>
          <w:sz w:val="32"/>
          <w:szCs w:val="32"/>
          <w:lang w:val="en-US" w:eastAsia="zh-CN"/>
        </w:rPr>
        <w:t>府、省民宗委等刊发200余条，其中“以铸牢中华民族共同体意识为主线，开创民族工作新局面”相关做法获省政府《政务要情与交流》单篇采用，在全省推介。</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黑体" w:hAnsi="黑体" w:eastAsia="黑体" w:cs="黑体"/>
          <w:b w:val="0"/>
          <w:bCs/>
          <w:color w:val="000000"/>
          <w:spacing w:val="0"/>
          <w:w w:val="100"/>
          <w:sz w:val="32"/>
          <w:szCs w:val="32"/>
          <w:u w:val="none"/>
          <w:lang w:val="en-US" w:eastAsia="zh-CN"/>
        </w:rPr>
      </w:pPr>
      <w:r>
        <w:rPr>
          <w:rFonts w:hint="eastAsia" w:ascii="黑体" w:hAnsi="黑体" w:eastAsia="黑体" w:cs="黑体"/>
          <w:b w:val="0"/>
          <w:bCs/>
          <w:color w:val="000000"/>
          <w:spacing w:val="0"/>
          <w:w w:val="100"/>
          <w:sz w:val="32"/>
          <w:szCs w:val="32"/>
          <w:u w:val="none"/>
          <w:lang w:val="en-US" w:eastAsia="zh-CN"/>
        </w:rPr>
        <w:t>2、以铸牢中华民族共同体意识为主线，推动新时代党的民族工作高质量发展</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2" w:firstLineChars="200"/>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（1）奋力创成民族团结进步示范市，经验做法获全国推荐。</w:t>
      </w:r>
      <w:r>
        <w:rPr>
          <w:rFonts w:hint="eastAsia" w:ascii="仿宋_GB2312" w:hAnsi="仿宋_GB2312" w:eastAsia="仿宋_GB2312" w:cs="仿宋_GB2312"/>
          <w:sz w:val="32"/>
          <w:szCs w:val="32"/>
          <w:lang w:val="en-US" w:eastAsia="zh-CN"/>
        </w:rPr>
        <w:t>深入挖掘“一粒种子改变世界”的精神内涵和时代价值，大力弘扬种子的“向阳、传承、开拓、包容、共生”精神，引领各族儿女立志成为中华民族伟大复兴的“好种子”，探索出“种子精神+民族团结”的创建模式，相关经验做法获国家民委《民族工作简报》120期刊发，在全国民委系统推介，得到市委忠建书记肯定性批示“工作主动，有成效！”。2023年12月，我市成功创成全国民族团结进步示范市。创建工作有形有感有效、亮点纷呈。怀化联手贵州黔东南州、广西柳州市共建“环三省坡”区域铸牢中华民族共同体意识示范带，成功举办“一粒种子　改变世界”原创民族音乐会、“石榴花开美中华—民族团结进步文艺宣传活动进怀化”“民族团结进步大使发布会”等重要活动。全国海峡两岸少数民族交流与合作基地落户芷江。</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2" w:firstLineChars="200"/>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（2）全面落实民族政策，科学推动民族地区发展。一是争取中央、省政策资金有新成效。</w:t>
      </w:r>
      <w:r>
        <w:rPr>
          <w:rFonts w:hint="eastAsia" w:ascii="仿宋_GB2312" w:hAnsi="仿宋_GB2312" w:eastAsia="仿宋_GB2312" w:cs="仿宋_GB2312"/>
          <w:sz w:val="32"/>
          <w:szCs w:val="32"/>
          <w:lang w:val="en-US" w:eastAsia="zh-CN"/>
        </w:rPr>
        <w:t>争取2023年中央、省级财政衔接推进乡村振兴补助资金（少数民族发展任务）4804万元，落实中央财政贴息引导资金1378.68万元，获批全省第三批民族乡村振兴试点单位8家。</w:t>
      </w:r>
      <w:r>
        <w:rPr>
          <w:rFonts w:hint="eastAsia" w:ascii="仿宋_GB2312" w:hAnsi="仿宋_GB2312" w:eastAsia="仿宋_GB2312" w:cs="仿宋_GB2312"/>
          <w:b/>
          <w:bCs/>
          <w:sz w:val="32"/>
          <w:szCs w:val="32"/>
          <w:lang w:val="en-US" w:eastAsia="zh-CN"/>
        </w:rPr>
        <w:t>二是精准落实高考加分政策。</w:t>
      </w:r>
      <w:r>
        <w:rPr>
          <w:rFonts w:hint="eastAsia" w:ascii="仿宋_GB2312" w:hAnsi="仿宋_GB2312" w:eastAsia="仿宋_GB2312" w:cs="仿宋_GB2312"/>
          <w:sz w:val="32"/>
          <w:szCs w:val="32"/>
          <w:lang w:val="en-US" w:eastAsia="zh-CN"/>
        </w:rPr>
        <w:t>为全市</w:t>
      </w:r>
      <w:r>
        <w:rPr>
          <w:rFonts w:hint="eastAsia" w:ascii="仿宋_GB2312" w:hAnsi="仿宋_GB2312" w:eastAsia="仿宋_GB2312" w:cs="仿宋_GB2312"/>
          <w:b w:val="0"/>
          <w:bCs w:val="0"/>
          <w:sz w:val="32"/>
          <w:szCs w:val="32"/>
          <w:lang w:eastAsia="zh-CN"/>
        </w:rPr>
        <w:t>12467</w:t>
      </w:r>
      <w:r>
        <w:rPr>
          <w:rFonts w:hint="eastAsia" w:ascii="仿宋_GB2312" w:hAnsi="仿宋_GB2312" w:eastAsia="仿宋_GB2312" w:cs="仿宋_GB2312"/>
          <w:sz w:val="32"/>
          <w:szCs w:val="32"/>
          <w:lang w:val="en-US" w:eastAsia="zh-CN"/>
        </w:rPr>
        <w:t>名各民族考生落实高考优惠加分，全市无一人漏审、错审、投诉。</w:t>
      </w:r>
      <w:r>
        <w:rPr>
          <w:rFonts w:hint="eastAsia" w:ascii="仿宋_GB2312" w:hAnsi="仿宋_GB2312" w:eastAsia="仿宋_GB2312" w:cs="仿宋_GB2312"/>
          <w:b/>
          <w:bCs/>
          <w:sz w:val="32"/>
          <w:szCs w:val="32"/>
          <w:lang w:val="en-US" w:eastAsia="zh-CN"/>
        </w:rPr>
        <w:t>三是扎实做好新一轮“逢十”庆典筹备工作。</w:t>
      </w:r>
      <w:r>
        <w:rPr>
          <w:rFonts w:hint="eastAsia" w:ascii="仿宋_GB2312" w:hAnsi="仿宋_GB2312" w:eastAsia="仿宋_GB2312" w:cs="仿宋_GB2312"/>
          <w:sz w:val="32"/>
          <w:szCs w:val="32"/>
          <w:lang w:val="en-US" w:eastAsia="zh-CN"/>
        </w:rPr>
        <w:t>在指导完成辰溪罗子山民族乡庆典的同时，积极做好自治县“逢十”庆典筹备工作。2024年通道70周年县庆是全国新一轮“逢十”庆典的第一个县，我局积极争取省政府支持，已争取省级支持资金2亿余元，为做好新一轮庆典工作打下坚实基础。</w:t>
      </w:r>
      <w:r>
        <w:rPr>
          <w:rFonts w:hint="eastAsia" w:ascii="仿宋_GB2312" w:hAnsi="仿宋_GB2312" w:eastAsia="仿宋_GB2312" w:cs="仿宋_GB2312"/>
          <w:b/>
          <w:bCs/>
          <w:sz w:val="32"/>
          <w:szCs w:val="32"/>
          <w:lang w:val="en-US" w:eastAsia="zh-CN"/>
        </w:rPr>
        <w:t>四是加强城市民族工作。</w:t>
      </w:r>
      <w:r>
        <w:rPr>
          <w:rFonts w:hint="eastAsia" w:ascii="仿宋_GB2312" w:hAnsi="仿宋_GB2312" w:eastAsia="仿宋_GB2312" w:cs="仿宋_GB2312"/>
          <w:sz w:val="32"/>
          <w:szCs w:val="32"/>
          <w:lang w:val="en-US" w:eastAsia="zh-CN"/>
        </w:rPr>
        <w:t>建立城市民族工作服务站，聚焦便民服务、信息管理、纠纷调解等三大核心职能，为18.6万余名来怀各族群众提供服务、解决难题，推动外来各族群众安居乐业，工作经验在全省工作会议上获省委统战部隋忠诚部长推介。</w:t>
      </w:r>
      <w:r>
        <w:rPr>
          <w:rFonts w:hint="eastAsia" w:ascii="仿宋_GB2312" w:hAnsi="仿宋_GB2312" w:eastAsia="仿宋_GB2312" w:cs="仿宋_GB2312"/>
          <w:b/>
          <w:bCs/>
          <w:sz w:val="32"/>
          <w:szCs w:val="32"/>
          <w:lang w:val="en-US" w:eastAsia="zh-CN"/>
        </w:rPr>
        <w:t>五是创造性争取各方面支持。</w:t>
      </w:r>
      <w:r>
        <w:rPr>
          <w:rFonts w:hint="eastAsia" w:ascii="仿宋_GB2312" w:hAnsi="仿宋_GB2312" w:eastAsia="仿宋_GB2312" w:cs="仿宋_GB2312"/>
          <w:sz w:val="32"/>
          <w:szCs w:val="32"/>
          <w:lang w:val="en-US" w:eastAsia="zh-CN"/>
        </w:rPr>
        <w:t>多次赴京衔接汇报，与中央民族大学达成战略合作，在人才引进、课题研究等方面开展深度协作，助推民族地区发展。</w:t>
      </w:r>
      <w:r>
        <w:rPr>
          <w:rFonts w:hint="eastAsia" w:ascii="仿宋_GB2312" w:hAnsi="仿宋_GB2312" w:eastAsia="仿宋_GB2312" w:cs="仿宋_GB2312"/>
          <w:b/>
          <w:bCs/>
          <w:sz w:val="32"/>
          <w:szCs w:val="32"/>
          <w:lang w:val="en-US" w:eastAsia="zh-CN"/>
        </w:rPr>
        <w:t>六是推进少数民族传统体育文化传承发展。</w:t>
      </w:r>
      <w:r>
        <w:rPr>
          <w:rFonts w:hint="eastAsia" w:ascii="仿宋_GB2312" w:hAnsi="仿宋_GB2312" w:eastAsia="仿宋_GB2312" w:cs="仿宋_GB2312"/>
          <w:sz w:val="32"/>
          <w:szCs w:val="32"/>
          <w:lang w:val="en-US" w:eastAsia="zh-CN"/>
        </w:rPr>
        <w:t>精心组织参加第十届全省少数民族传统体育运动会，取得团体总分第2名的优异成绩。</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2" w:firstLineChars="200"/>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（3）深入推进凝心铸魂工作，铸牢中华民族共同体意识宣传教育成效斐然。</w:t>
      </w:r>
      <w:r>
        <w:rPr>
          <w:rFonts w:hint="eastAsia" w:ascii="仿宋_GB2312" w:hAnsi="仿宋_GB2312" w:eastAsia="仿宋_GB2312" w:cs="仿宋_GB2312"/>
          <w:sz w:val="32"/>
          <w:szCs w:val="32"/>
          <w:lang w:val="en-US" w:eastAsia="zh-CN"/>
        </w:rPr>
        <w:t>突出三个聚焦，着力构建铸牢中华民族共同体意识宣传教育常态化机制，推动中华民族共同体理念深入人心。</w:t>
      </w:r>
      <w:r>
        <w:rPr>
          <w:rFonts w:hint="eastAsia" w:ascii="仿宋_GB2312" w:hAnsi="仿宋_GB2312" w:eastAsia="仿宋_GB2312" w:cs="仿宋_GB2312"/>
          <w:b/>
          <w:bCs/>
          <w:sz w:val="32"/>
          <w:szCs w:val="32"/>
          <w:lang w:val="en-US" w:eastAsia="zh-CN"/>
        </w:rPr>
        <w:t>一是聚焦党员干部教育，创新“院校+基地”模式。</w:t>
      </w:r>
      <w:r>
        <w:rPr>
          <w:rFonts w:hint="eastAsia" w:ascii="仿宋_GB2312" w:hAnsi="仿宋_GB2312" w:eastAsia="仿宋_GB2312" w:cs="仿宋_GB2312"/>
          <w:sz w:val="32"/>
          <w:szCs w:val="32"/>
          <w:lang w:val="en-US" w:eastAsia="zh-CN"/>
        </w:rPr>
        <w:t>抓好党校教育“主渠道”，将铸牢中华民族共同体意识教育纳入市、县两级党校教学计划和主体班次培训内容。建立教育场馆“微阵地”，在全市红色教育场馆成立中华民族共同体意识实践基地和现场教学点。打造理论研究“新基地”，依托国家民委中华民族共同体研究基地（怀化学院），加强中华民族共同体意识研究阐释，在SCI等核心期刊发文20篇、出版专著5本、培训学员500余人。</w:t>
      </w:r>
      <w:r>
        <w:rPr>
          <w:rFonts w:hint="eastAsia" w:ascii="仿宋_GB2312" w:hAnsi="仿宋_GB2312" w:eastAsia="仿宋_GB2312" w:cs="仿宋_GB2312"/>
          <w:b/>
          <w:bCs/>
          <w:sz w:val="32"/>
          <w:szCs w:val="32"/>
          <w:lang w:val="en-US" w:eastAsia="zh-CN"/>
        </w:rPr>
        <w:t>二是聚焦国民教育，纳入大中小学教育教学内容。</w:t>
      </w:r>
      <w:r>
        <w:rPr>
          <w:rFonts w:hint="eastAsia" w:ascii="仿宋_GB2312" w:hAnsi="仿宋_GB2312" w:eastAsia="仿宋_GB2312" w:cs="仿宋_GB2312"/>
          <w:sz w:val="32"/>
          <w:szCs w:val="32"/>
          <w:lang w:val="en-US" w:eastAsia="zh-CN"/>
        </w:rPr>
        <w:t>将大中小学校课堂教育和思政教育作为铸牢中华民族共同体意识教育的主阵地，打造省、市铸牢中华民族共同体意识示范学校30所，芷江荷花池小学新时代思政教育模式吸引省内外来校调研学习近30批次，在全省民宗系统推介。</w:t>
      </w:r>
      <w:r>
        <w:rPr>
          <w:rFonts w:hint="eastAsia" w:ascii="仿宋_GB2312" w:hAnsi="仿宋_GB2312" w:eastAsia="仿宋_GB2312" w:cs="仿宋_GB2312"/>
          <w:b/>
          <w:bCs/>
          <w:sz w:val="32"/>
          <w:szCs w:val="32"/>
          <w:lang w:val="en-US" w:eastAsia="zh-CN"/>
        </w:rPr>
        <w:t>三是聚焦社会教育，与城市管理、文旅活动、媒体宣传等有机融合。</w:t>
      </w:r>
      <w:r>
        <w:rPr>
          <w:rFonts w:hint="eastAsia" w:ascii="仿宋_GB2312" w:hAnsi="仿宋_GB2312" w:eastAsia="仿宋_GB2312" w:cs="仿宋_GB2312"/>
          <w:sz w:val="32"/>
          <w:szCs w:val="32"/>
          <w:lang w:val="en-US" w:eastAsia="zh-CN"/>
        </w:rPr>
        <w:t>开设“怀化民族团结”微信公众号，建成铸牢中华民族共同体意识主题公园14座、广场13个、街道13条、教育实践基地11处，开通民族团结客运班线、公交专线30条，规划建设中华文化公园1座，开设怀化“道中华”讲堂，让各族群众在潜移默化的教育熏陶中进一步铸牢中华民族共同体意识。怀化市打造铸牢中华民族共同体意识体验馆、芷江和平湖铸牢中华民族共同体意识教育实践基地做法获国家民委、省民宗委充分肯定。</w:t>
      </w:r>
    </w:p>
    <w:p>
      <w:pPr>
        <w:keepNext w:val="0"/>
        <w:keepLines w:val="0"/>
        <w:pageBreakBefore w:val="0"/>
        <w:widowControl w:val="0"/>
        <w:pBdr>
          <w:bottom w:val="single" w:color="FFFFFF" w:sz="4" w:space="31"/>
        </w:pBdr>
        <w:kinsoku/>
        <w:wordWrap/>
        <w:overflowPunct/>
        <w:topLinePunct w:val="0"/>
        <w:autoSpaceDE/>
        <w:autoSpaceDN/>
        <w:bidi w:val="0"/>
        <w:adjustRightInd/>
        <w:snapToGrid/>
        <w:spacing w:line="560" w:lineRule="exact"/>
        <w:ind w:leftChars="0"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3、坚持宗教中国化方向，不断开创宗教工作新局面（涉密）</w:t>
      </w:r>
    </w:p>
    <w:p>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60" w:lineRule="exact"/>
        <w:ind w:leftChars="0" w:firstLine="642" w:firstLineChars="200"/>
        <w:textAlignment w:val="auto"/>
        <w:rPr>
          <w:rFonts w:hint="eastAsia" w:ascii="仿宋_GB2312" w:hAnsi="仿宋_GB2312" w:eastAsia="仿宋_GB2312" w:cs="仿宋_GB2312"/>
          <w:b w:val="0"/>
          <w:kern w:val="2"/>
          <w:sz w:val="32"/>
          <w:szCs w:val="32"/>
          <w:lang w:val="en-US" w:eastAsia="zh-CN" w:bidi="ar-SA"/>
        </w:rPr>
      </w:pPr>
      <w:r>
        <w:rPr>
          <w:rFonts w:hint="eastAsia" w:ascii="楷体_GB2312" w:hAnsi="楷体_GB2312" w:eastAsia="楷体_GB2312" w:cs="楷体_GB2312"/>
          <w:b/>
          <w:bCs/>
          <w:color w:val="auto"/>
          <w:kern w:val="0"/>
          <w:sz w:val="32"/>
          <w:szCs w:val="32"/>
          <w:lang w:val="en-US" w:eastAsia="zh-CN" w:bidi="ar-SA"/>
        </w:rPr>
        <w:t>（1）坚持依法管理宗教事务。</w:t>
      </w:r>
      <w:r>
        <w:rPr>
          <w:rFonts w:hint="eastAsia" w:ascii="楷体_GB2312" w:hAnsi="楷体_GB2312" w:eastAsia="楷体_GB2312" w:cs="楷体_GB2312"/>
          <w:b/>
          <w:bCs/>
          <w:kern w:val="2"/>
          <w:sz w:val="32"/>
          <w:szCs w:val="32"/>
          <w:lang w:val="en-US" w:eastAsia="zh-CN" w:bidi="ar-SA"/>
        </w:rPr>
        <w:t>持续深入推进宗教行政执法改革。</w:t>
      </w:r>
    </w:p>
    <w:p>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60" w:lineRule="exact"/>
        <w:ind w:leftChars="0" w:firstLine="642" w:firstLineChars="200"/>
        <w:textAlignment w:val="auto"/>
        <w:rPr>
          <w:rFonts w:hint="eastAsia" w:ascii="仿宋_GB2312" w:hAnsi="仿宋_GB2312" w:eastAsia="仿宋_GB2312" w:cs="仿宋_GB2312"/>
          <w:b w:val="0"/>
          <w:kern w:val="2"/>
          <w:sz w:val="32"/>
          <w:szCs w:val="32"/>
          <w:lang w:val="en-US" w:eastAsia="zh-CN" w:bidi="ar-SA"/>
        </w:rPr>
      </w:pPr>
      <w:r>
        <w:rPr>
          <w:rFonts w:hint="eastAsia" w:ascii="楷体_GB2312" w:hAnsi="楷体_GB2312" w:eastAsia="楷体_GB2312" w:cs="楷体_GB2312"/>
          <w:b/>
          <w:bCs/>
          <w:color w:val="auto"/>
          <w:kern w:val="0"/>
          <w:sz w:val="32"/>
          <w:szCs w:val="32"/>
          <w:lang w:val="en-US" w:eastAsia="zh-CN" w:bidi="ar-SA"/>
        </w:rPr>
        <w:t>（2）全市宗教管理基层基础上新台阶。</w:t>
      </w:r>
      <w:r>
        <w:rPr>
          <w:rFonts w:hint="eastAsia" w:ascii="仿宋_GB2312" w:hAnsi="仿宋_GB2312" w:eastAsia="仿宋_GB2312" w:cs="仿宋_GB2312"/>
          <w:b/>
          <w:bCs/>
          <w:kern w:val="2"/>
          <w:sz w:val="32"/>
          <w:szCs w:val="32"/>
          <w:lang w:val="en-US" w:eastAsia="zh-CN" w:bidi="ar-SA"/>
        </w:rPr>
        <w:t>一是全面落实宗教工作三级网络两级责任制。</w:t>
      </w:r>
    </w:p>
    <w:p>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60" w:lineRule="exact"/>
        <w:ind w:leftChars="0" w:firstLine="642" w:firstLineChars="200"/>
        <w:textAlignment w:val="auto"/>
        <w:rPr>
          <w:rFonts w:hint="eastAsia" w:ascii="仿宋_GB2312" w:hAnsi="仿宋_GB2312" w:eastAsia="仿宋_GB2312" w:cs="仿宋_GB2312"/>
          <w:b w:val="0"/>
          <w:kern w:val="2"/>
          <w:sz w:val="32"/>
          <w:szCs w:val="32"/>
          <w:lang w:val="en-US" w:eastAsia="zh-CN" w:bidi="ar-SA"/>
        </w:rPr>
      </w:pPr>
      <w:r>
        <w:rPr>
          <w:rFonts w:hint="eastAsia" w:ascii="楷体_GB2312" w:hAnsi="楷体_GB2312" w:eastAsia="楷体_GB2312" w:cs="楷体_GB2312"/>
          <w:b/>
          <w:bCs/>
          <w:color w:val="auto"/>
          <w:kern w:val="0"/>
          <w:sz w:val="32"/>
          <w:szCs w:val="32"/>
          <w:lang w:val="en-US" w:eastAsia="zh-CN" w:bidi="ar-SA"/>
        </w:rPr>
        <w:t>（3）大力整治非法宗教，遏制渗透蔓延。</w:t>
      </w:r>
    </w:p>
    <w:p>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60" w:lineRule="exact"/>
        <w:ind w:leftChars="0" w:firstLine="642" w:firstLineChars="200"/>
        <w:textAlignment w:val="auto"/>
        <w:rPr>
          <w:rFonts w:hint="eastAsia" w:ascii="仿宋_GB2312" w:hAnsi="仿宋_GB2312" w:eastAsia="仿宋_GB2312" w:cs="仿宋_GB2312"/>
          <w:b w:val="0"/>
          <w:kern w:val="2"/>
          <w:sz w:val="32"/>
          <w:szCs w:val="32"/>
          <w:lang w:val="en-US" w:eastAsia="zh-CN" w:bidi="ar-SA"/>
        </w:rPr>
      </w:pPr>
      <w:r>
        <w:rPr>
          <w:rFonts w:hint="eastAsia" w:ascii="楷体_GB2312" w:hAnsi="楷体_GB2312" w:eastAsia="楷体_GB2312" w:cs="楷体_GB2312"/>
          <w:b/>
          <w:bCs/>
          <w:color w:val="auto"/>
          <w:kern w:val="0"/>
          <w:sz w:val="32"/>
          <w:szCs w:val="32"/>
          <w:lang w:val="en-US" w:eastAsia="zh-CN" w:bidi="ar-SA"/>
        </w:rPr>
        <w:t>（4）抓牢抓实宗教领域安全生产。</w:t>
      </w:r>
    </w:p>
    <w:p>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60" w:lineRule="exact"/>
        <w:ind w:leftChars="0" w:firstLine="640" w:firstLineChars="200"/>
        <w:textAlignment w:val="auto"/>
        <w:rPr>
          <w:rFonts w:hint="eastAsia" w:ascii="黑体" w:hAnsi="黑体" w:eastAsia="黑体" w:cs="黑体"/>
          <w:b w:val="0"/>
          <w:kern w:val="2"/>
          <w:sz w:val="32"/>
          <w:szCs w:val="32"/>
          <w:lang w:val="en-US" w:eastAsia="zh-CN" w:bidi="ar-SA"/>
        </w:rPr>
      </w:pPr>
      <w:r>
        <w:rPr>
          <w:rFonts w:hint="eastAsia" w:ascii="黑体" w:hAnsi="黑体" w:eastAsia="黑体" w:cs="黑体"/>
          <w:b w:val="0"/>
          <w:kern w:val="2"/>
          <w:sz w:val="32"/>
          <w:szCs w:val="32"/>
          <w:lang w:val="en-US" w:eastAsia="zh-CN" w:bidi="ar-SA"/>
        </w:rPr>
        <w:t>4、纵深推进全面从严治党，着力营造风清气正的良好政治生态</w:t>
      </w:r>
    </w:p>
    <w:p>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60" w:lineRule="exact"/>
        <w:ind w:leftChars="0" w:firstLine="642" w:firstLineChars="200"/>
        <w:textAlignment w:val="auto"/>
        <w:rPr>
          <w:rFonts w:hint="eastAsia" w:ascii="仿宋_GB2312" w:hAnsi="仿宋_GB2312" w:eastAsia="仿宋_GB2312" w:cs="仿宋_GB2312"/>
          <w:color w:val="auto"/>
          <w:kern w:val="0"/>
          <w:sz w:val="32"/>
          <w:szCs w:val="32"/>
          <w:lang w:val="en-US" w:eastAsia="zh-CN"/>
        </w:rPr>
      </w:pPr>
      <w:r>
        <w:rPr>
          <w:rFonts w:hint="eastAsia" w:ascii="楷体_GB2312" w:hAnsi="楷体_GB2312" w:eastAsia="楷体_GB2312" w:cs="楷体_GB2312"/>
          <w:b/>
          <w:bCs/>
          <w:color w:val="auto"/>
          <w:kern w:val="0"/>
          <w:sz w:val="32"/>
          <w:szCs w:val="32"/>
          <w:lang w:val="en-US" w:eastAsia="zh-CN" w:bidi="ar-SA"/>
        </w:rPr>
        <w:t>（1）坚决扛牢全面从严治党政治责任。</w:t>
      </w:r>
      <w:r>
        <w:rPr>
          <w:rFonts w:hint="eastAsia" w:ascii="仿宋_GB2312" w:hAnsi="仿宋_GB2312" w:eastAsia="仿宋_GB2312" w:cs="仿宋_GB2312"/>
          <w:sz w:val="32"/>
          <w:szCs w:val="32"/>
          <w:lang w:val="en-US" w:eastAsia="zh-CN"/>
        </w:rPr>
        <w:t>统筹抓好发展第一要务和落实党建主体责任，压实班子成员“一岗双责”，党组会议专题研究党建工作4次，及时研究解决重点难题问题，切实把党的领导贯彻落实到位，把党的建设落到实处。</w:t>
      </w:r>
      <w:r>
        <w:rPr>
          <w:rFonts w:hint="eastAsia" w:ascii="仿宋_GB2312" w:hAnsi="仿宋_GB2312" w:eastAsia="仿宋_GB2312" w:cs="仿宋_GB2312"/>
          <w:kern w:val="2"/>
          <w:sz w:val="32"/>
          <w:szCs w:val="32"/>
          <w:u w:val="none"/>
          <w:lang w:val="en-US" w:eastAsia="zh-CN" w:bidi="ar-SA"/>
        </w:rPr>
        <w:t>全面落实民主集中制，完善党组议事制度和民主决策机制，制定《关于落实“三重一大”事项集体决策制度的落实办法》，对“三重一大”事项坚持集体讨论决定，重大事项坚持向市纪委驻统战部纪监组报告，做到了项目安排、干部任选、资金使用等工作科学决策、民主决策、依法决策，营造了风清气正的政治生态。</w:t>
      </w:r>
      <w:r>
        <w:rPr>
          <w:rFonts w:hint="eastAsia" w:ascii="仿宋_GB2312" w:hAnsi="仿宋_GB2312" w:eastAsia="仿宋_GB2312" w:cs="仿宋_GB2312"/>
          <w:color w:val="auto"/>
          <w:kern w:val="0"/>
          <w:sz w:val="32"/>
          <w:szCs w:val="32"/>
          <w:lang w:val="en-US" w:eastAsia="zh-CN"/>
        </w:rPr>
        <w:t>严格落实重大事项请示报告制度，以党组名义向市委请示报告9次。</w:t>
      </w:r>
    </w:p>
    <w:p>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60" w:lineRule="exact"/>
        <w:ind w:leftChars="0" w:firstLine="642"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color w:val="auto"/>
          <w:kern w:val="0"/>
          <w:sz w:val="32"/>
          <w:szCs w:val="32"/>
          <w:lang w:val="en-US" w:eastAsia="zh-CN" w:bidi="ar-SA"/>
        </w:rPr>
        <w:t>（2）深入推进法治政府建设。</w:t>
      </w:r>
      <w:r>
        <w:rPr>
          <w:rFonts w:hint="eastAsia" w:ascii="仿宋_GB2312" w:hAnsi="仿宋_GB2312" w:eastAsia="仿宋_GB2312" w:cs="仿宋_GB2312"/>
          <w:color w:val="auto"/>
          <w:kern w:val="0"/>
          <w:sz w:val="32"/>
          <w:szCs w:val="32"/>
          <w:lang w:val="en-US" w:eastAsia="zh-CN"/>
        </w:rPr>
        <w:t>党组班子坚持带头学法守法，将法律法规学习列入党组理论学习中心组学习重要内容，制定领导班子学习计划，确保每年不少于40个学时的法治学习。召开4次党组理论学习中心组学习会议，先后学习了《党章》《宪法》《民族区域自治法》《宗教事务条例》等法律法规，不断提升依法行政水平。加强法治宣传教育，结合“八五”普法，于今年9月开展了民族团结进步和宗教政策法规宣传月活动。坚持依法推进民族事务治理，“六联六治”“湘桂黔三省共建铸牢中华民族共同体意识示范带”等民族事务治理做法获国家民委内部刊物采纳，在全国民委系统推介。聘请1名专业律师为单位法律顾问，加强合法性审查，确保重大行政决策合法合规。</w:t>
      </w:r>
    </w:p>
    <w:p>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60" w:lineRule="exact"/>
        <w:ind w:leftChars="0" w:firstLine="642"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color w:val="auto"/>
          <w:kern w:val="0"/>
          <w:sz w:val="32"/>
          <w:szCs w:val="32"/>
          <w:lang w:val="en-US" w:eastAsia="zh-CN" w:bidi="ar-SA"/>
        </w:rPr>
        <w:t>（3）抓实基层党建重点工作。</w:t>
      </w:r>
      <w:r>
        <w:rPr>
          <w:rFonts w:hint="eastAsia" w:ascii="仿宋_GB2312" w:hAnsi="仿宋_GB2312" w:eastAsia="仿宋_GB2312" w:cs="仿宋_GB2312"/>
          <w:kern w:val="2"/>
          <w:sz w:val="32"/>
          <w:szCs w:val="32"/>
          <w:u w:val="none"/>
          <w:lang w:val="en-US" w:eastAsia="zh-CN" w:bidi="ar-SA"/>
        </w:rPr>
        <w:t>认真落实“三会一课”、主题党日、公开承诺、民主评议等制度，班子成员</w:t>
      </w:r>
      <w:r>
        <w:rPr>
          <w:rFonts w:hint="eastAsia" w:ascii="仿宋_GB2312" w:hAnsi="仿宋_GB2312" w:eastAsia="仿宋_GB2312" w:cs="仿宋_GB2312"/>
          <w:sz w:val="32"/>
          <w:szCs w:val="32"/>
          <w:lang w:val="en-US" w:eastAsia="zh-CN"/>
        </w:rPr>
        <w:t>以普通党员身份参加民宗局党支部组织生活会，为党员干部上党课5次，组织开展“光影铸魂”电影党课活动5次、“五溪先锋”党员志愿服务活动19次。加强结对共建，安排支部书记到乡村振兴结对帮扶村上党课１次，开展各类帮扶共建活动10余次。组织全体党员重温入党誓词、集体过“政治生日”、集中收看收听廉政党课，增强了党的意识和党员意识。</w:t>
      </w:r>
    </w:p>
    <w:p>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60" w:lineRule="exact"/>
        <w:ind w:leftChars="0" w:firstLine="642" w:firstLineChars="200"/>
        <w:textAlignment w:val="auto"/>
        <w:rPr>
          <w:rFonts w:hint="eastAsia" w:ascii="仿宋_GB2312" w:hAnsi="仿宋_GB2312" w:eastAsia="仿宋_GB2312" w:cs="仿宋_GB2312"/>
          <w:kern w:val="2"/>
          <w:sz w:val="32"/>
          <w:szCs w:val="32"/>
          <w:u w:val="none"/>
          <w:lang w:val="en-US" w:eastAsia="zh-CN" w:bidi="ar-SA"/>
        </w:rPr>
      </w:pPr>
      <w:r>
        <w:rPr>
          <w:rFonts w:hint="eastAsia" w:ascii="楷体_GB2312" w:hAnsi="楷体_GB2312" w:eastAsia="楷体_GB2312" w:cs="楷体_GB2312"/>
          <w:b/>
          <w:bCs/>
          <w:color w:val="auto"/>
          <w:kern w:val="0"/>
          <w:sz w:val="32"/>
          <w:szCs w:val="32"/>
          <w:lang w:val="en-US" w:eastAsia="zh-CN" w:bidi="ar-SA"/>
        </w:rPr>
        <w:t>（4）纵深推进党风廉政建设和反腐败斗争。</w:t>
      </w:r>
      <w:r>
        <w:rPr>
          <w:rFonts w:hint="eastAsia" w:ascii="仿宋_GB2312" w:hAnsi="仿宋_GB2312" w:eastAsia="仿宋_GB2312" w:cs="仿宋_GB2312"/>
          <w:color w:val="auto"/>
          <w:kern w:val="0"/>
          <w:sz w:val="32"/>
          <w:szCs w:val="32"/>
          <w:lang w:val="en-US" w:eastAsia="zh-CN"/>
        </w:rPr>
        <w:t>把党风廉政建设与民宗中心工作同研究、同部署、同落实，</w:t>
      </w:r>
      <w:r>
        <w:rPr>
          <w:rFonts w:hint="eastAsia" w:ascii="仿宋_GB2312" w:hAnsi="仿宋_GB2312" w:eastAsia="仿宋_GB2312" w:cs="仿宋_GB2312"/>
          <w:kern w:val="2"/>
          <w:sz w:val="32"/>
          <w:szCs w:val="32"/>
          <w:u w:val="none"/>
          <w:lang w:val="en-US" w:eastAsia="zh-CN" w:bidi="ar-SA"/>
        </w:rPr>
        <w:t>召开党组会议6次研究党风廉政建设工作，组织开展警示教育3次，与班子成员、各科室（中心）负责人谈心谈话13次。持续推进清廉机关创建，成立清廉机关建设领导小组，制定《怀化市民宗局清廉机关建设实施方案》，明确10项重点任务和责任领导、完成时限，构建起合力推进清廉机关创建的工作格局。班子成员带头严格落实中央八项规定及其实施细则精神，驰而不息纠治“四风”，深化党政机关过紧日子，厉行节约、反对浪费的理念，严格落实廉洁自律各项规定。</w:t>
      </w:r>
    </w:p>
    <w:p>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60" w:lineRule="exact"/>
        <w:ind w:leftChars="0" w:firstLine="642" w:firstLineChars="200"/>
        <w:textAlignment w:val="auto"/>
        <w:rPr>
          <w:rFonts w:hint="eastAsia" w:ascii="楷体_GB2312" w:hAnsi="楷体_GB2312" w:eastAsia="楷体_GB2312" w:cs="楷体_GB2312"/>
          <w:b/>
          <w:bCs/>
          <w:color w:val="auto"/>
          <w:kern w:val="0"/>
          <w:sz w:val="32"/>
          <w:szCs w:val="32"/>
          <w:lang w:val="en-US" w:eastAsia="zh-CN" w:bidi="ar-SA"/>
        </w:rPr>
      </w:pPr>
      <w:r>
        <w:rPr>
          <w:rFonts w:hint="eastAsia" w:ascii="楷体_GB2312" w:hAnsi="楷体_GB2312" w:eastAsia="楷体_GB2312" w:cs="楷体_GB2312"/>
          <w:b/>
          <w:bCs/>
          <w:color w:val="auto"/>
          <w:kern w:val="0"/>
          <w:sz w:val="32"/>
          <w:szCs w:val="32"/>
          <w:lang w:val="en-US" w:eastAsia="zh-CN" w:bidi="ar-SA"/>
        </w:rPr>
        <w:t>（5）严格落实意识形态和网络意识形态工作责任制。（涉密）</w:t>
      </w:r>
    </w:p>
    <w:p>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bookmarkStart w:id="28" w:name="_GoBack"/>
      <w:bookmarkEnd w:id="28"/>
      <w:r>
        <w:rPr>
          <w:rFonts w:hint="eastAsia" w:ascii="仿宋_GB2312" w:hAnsi="仿宋_GB2312" w:eastAsia="仿宋_GB2312" w:cs="仿宋_GB2312"/>
          <w:b w:val="0"/>
          <w:kern w:val="2"/>
          <w:sz w:val="32"/>
          <w:szCs w:val="32"/>
          <w:lang w:val="en-US" w:eastAsia="zh-CN" w:bidi="ar-SA"/>
        </w:rPr>
        <w:t>一年来，各项工作虽然取得了一定成绩，但是与市委要求和群众期待相比还有一些差距。</w:t>
      </w:r>
      <w:r>
        <w:rPr>
          <w:rFonts w:hint="eastAsia" w:ascii="仿宋_GB2312" w:hAnsi="仿宋_GB2312" w:eastAsia="仿宋_GB2312" w:cs="仿宋_GB2312"/>
          <w:kern w:val="2"/>
          <w:sz w:val="32"/>
          <w:szCs w:val="32"/>
          <w:u w:val="none"/>
          <w:lang w:val="en-US" w:eastAsia="zh-CN" w:bidi="ar-SA"/>
        </w:rPr>
        <w:t>如作风建设还需持续深化，宗教中国化实践还需向纵深推进等等，市民宗局党组班子将在今后的工作中落深落细。新的2024年，我局将踔厉奋发，力争在全市民族宗教事务管理上有新作为。一是深入贯彻落实党的二十大精神，以习近平新时代中国特色社会主义思想为引领，坚持全面从严治党，全面加强队伍建设，进一步提振干事创业的精气神。二是在民族工作上实施“五大工程”，即创建工程、先导工程、振兴工程、固本工程、融合工程。三是在宗教工作上实施“五大行动”，即理论研究提升行动、管理制度提升行动、工作能力提升行动、基础工作提升行动、安全生产和平安建设提升行动，在全市中国式现代化建设征程中贡献更大的民宗力量。</w:t>
      </w:r>
    </w:p>
    <w:p>
      <w:pPr>
        <w:keepNext w:val="0"/>
        <w:keepLines w:val="0"/>
        <w:pageBreakBefore w:val="0"/>
        <w:kinsoku/>
        <w:wordWrap/>
        <w:overflowPunct/>
        <w:topLinePunct w:val="0"/>
        <w:autoSpaceDN/>
        <w:bidi w:val="0"/>
        <w:adjustRightInd/>
        <w:snapToGrid/>
        <w:spacing w:line="540" w:lineRule="exact"/>
        <w:textAlignment w:val="auto"/>
        <w:rPr>
          <w:rFonts w:hint="eastAsia"/>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（二）部门预算执行情况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40" w:right="0" w:firstLine="0"/>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1.基本支出情况</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基本支出包括人员经费（包括在职职工的工资福利支出和对个人和家庭的补助支出）和日常公用经费两部分。</w:t>
      </w:r>
      <w:r>
        <w:rPr>
          <w:rFonts w:hint="eastAsia" w:ascii="仿宋_GB2312" w:hAnsi="仿宋_GB2312" w:eastAsia="仿宋_GB2312" w:cs="仿宋_GB2312"/>
          <w:sz w:val="32"/>
          <w:szCs w:val="32"/>
          <w:lang w:eastAsia="zh-CN"/>
        </w:rPr>
        <w:t>主要用于在职职工的工资福利，及保障机关运转的各项办公经费包括办公费，邮电费，差旅费，招待费，劳务费，水电费其他商品和服务支出等。</w:t>
      </w:r>
      <w:r>
        <w:rPr>
          <w:rFonts w:hint="eastAsia" w:ascii="仿宋_GB2312" w:hAnsi="仿宋_GB2312" w:eastAsia="仿宋_GB2312" w:cs="仿宋_GB2312"/>
          <w:sz w:val="32"/>
          <w:szCs w:val="32"/>
        </w:rPr>
        <w:t>基本支出都是严格按照财务管理制度及相关规定办理支付。对“三公”经费的管理和使用，</w:t>
      </w:r>
      <w:r>
        <w:rPr>
          <w:rFonts w:hint="eastAsia" w:ascii="仿宋_GB2312" w:hAnsi="仿宋_GB2312" w:eastAsia="仿宋_GB2312" w:cs="仿宋_GB2312"/>
          <w:sz w:val="32"/>
          <w:szCs w:val="32"/>
          <w:lang w:eastAsia="zh-CN"/>
        </w:rPr>
        <w:t>本</w:t>
      </w:r>
      <w:r>
        <w:rPr>
          <w:rFonts w:hint="eastAsia" w:ascii="仿宋_GB2312" w:hAnsi="仿宋_GB2312" w:eastAsia="仿宋_GB2312" w:cs="仿宋_GB2312"/>
          <w:sz w:val="32"/>
          <w:szCs w:val="32"/>
        </w:rPr>
        <w:t>单位严格按照中央八项规定、省委九项规定的要求，出台了《关于加强市民宗局</w:t>
      </w:r>
      <w:r>
        <w:rPr>
          <w:rFonts w:hint="eastAsia" w:ascii="仿宋_GB2312" w:hAnsi="仿宋_GB2312" w:eastAsia="仿宋_GB2312" w:cs="仿宋_GB2312"/>
          <w:sz w:val="32"/>
          <w:szCs w:val="32"/>
          <w:lang w:eastAsia="zh-CN"/>
        </w:rPr>
        <w:t>三公经费</w:t>
      </w:r>
      <w:r>
        <w:rPr>
          <w:rFonts w:hint="eastAsia" w:ascii="仿宋_GB2312" w:hAnsi="仿宋_GB2312" w:eastAsia="仿宋_GB2312" w:cs="仿宋_GB2312"/>
          <w:sz w:val="32"/>
          <w:szCs w:val="32"/>
        </w:rPr>
        <w:t>厉行节约的通知》。对出国（境）费、公务接待费、车辆运行费及会议费进行了详细的规范，从范围、标准等方面作了具体的明确规定，从严把关。</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40" w:right="0" w:firstLine="0"/>
        <w:textAlignment w:val="auto"/>
        <w:rPr>
          <w:rFonts w:hint="default" w:ascii="仿宋_GB2312" w:eastAsia="仿宋_GB2312" w:cs="仿宋_GB2312"/>
          <w:i w:val="0"/>
          <w:iCs w:val="0"/>
          <w:caps w:val="0"/>
          <w:color w:val="000000"/>
          <w:spacing w:val="0"/>
          <w:sz w:val="32"/>
          <w:szCs w:val="32"/>
          <w:shd w:val="clear" w:fill="FFFFFF"/>
        </w:rPr>
      </w:pPr>
    </w:p>
    <w:tbl>
      <w:tblPr>
        <w:tblStyle w:val="9"/>
        <w:tblW w:w="8365" w:type="dxa"/>
        <w:tblInd w:w="96" w:type="dxa"/>
        <w:tblLayout w:type="autofit"/>
        <w:tblCellMar>
          <w:top w:w="0" w:type="dxa"/>
          <w:left w:w="108" w:type="dxa"/>
          <w:bottom w:w="0" w:type="dxa"/>
          <w:right w:w="108" w:type="dxa"/>
        </w:tblCellMar>
      </w:tblPr>
      <w:tblGrid>
        <w:gridCol w:w="1081"/>
        <w:gridCol w:w="1176"/>
        <w:gridCol w:w="2148"/>
        <w:gridCol w:w="1932"/>
        <w:gridCol w:w="2028"/>
      </w:tblGrid>
      <w:tr>
        <w:tblPrEx>
          <w:tblCellMar>
            <w:top w:w="0" w:type="dxa"/>
            <w:left w:w="108" w:type="dxa"/>
            <w:bottom w:w="0" w:type="dxa"/>
            <w:right w:w="108" w:type="dxa"/>
          </w:tblCellMar>
        </w:tblPrEx>
        <w:trPr>
          <w:trHeight w:val="288" w:hRule="atLeast"/>
        </w:trPr>
        <w:tc>
          <w:tcPr>
            <w:tcW w:w="10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功能科目</w:t>
            </w:r>
          </w:p>
        </w:tc>
        <w:tc>
          <w:tcPr>
            <w:tcW w:w="11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基本支出</w:t>
            </w:r>
          </w:p>
        </w:tc>
        <w:tc>
          <w:tcPr>
            <w:tcW w:w="214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项目</w:t>
            </w:r>
          </w:p>
        </w:tc>
        <w:tc>
          <w:tcPr>
            <w:tcW w:w="1932"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收入（元）</w:t>
            </w:r>
          </w:p>
        </w:tc>
        <w:tc>
          <w:tcPr>
            <w:tcW w:w="202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支出（元）</w:t>
            </w:r>
          </w:p>
        </w:tc>
      </w:tr>
      <w:tr>
        <w:trPr>
          <w:trHeight w:val="288" w:hRule="atLeast"/>
        </w:trPr>
        <w:tc>
          <w:tcPr>
            <w:tcW w:w="1081" w:type="dxa"/>
            <w:vMerge w:val="restart"/>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2012301</w:t>
            </w:r>
          </w:p>
        </w:tc>
        <w:tc>
          <w:tcPr>
            <w:tcW w:w="1176" w:type="dxa"/>
            <w:tcBorders>
              <w:top w:val="single" w:color="000000" w:sz="4" w:space="0"/>
              <w:left w:val="single" w:color="000000" w:sz="4" w:space="0"/>
              <w:bottom w:val="single" w:color="000000" w:sz="4" w:space="0"/>
              <w:right w:val="single" w:color="000000" w:sz="4" w:space="0"/>
            </w:tcBorders>
            <w:noWrap w:val="0"/>
            <w:vAlign w:val="bottom"/>
          </w:tcPr>
          <w:p>
            <w:pPr>
              <w:rPr>
                <w:rFonts w:ascii="Tahoma" w:hAnsi="Tahoma" w:eastAsia="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基本工资</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1436022</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1436022</w:t>
            </w:r>
          </w:p>
        </w:tc>
      </w:tr>
      <w:tr>
        <w:tblPrEx>
          <w:tblCellMar>
            <w:top w:w="0" w:type="dxa"/>
            <w:left w:w="108" w:type="dxa"/>
            <w:bottom w:w="0" w:type="dxa"/>
            <w:right w:w="108" w:type="dxa"/>
          </w:tblCellMar>
        </w:tblPrEx>
        <w:trPr>
          <w:trHeight w:val="288" w:hRule="atLeast"/>
        </w:trPr>
        <w:tc>
          <w:tcPr>
            <w:tcW w:w="1081" w:type="dxa"/>
            <w:vMerge w:val="continue"/>
            <w:tcBorders>
              <w:top w:val="single" w:color="000000" w:sz="4" w:space="0"/>
              <w:left w:val="single" w:color="000000" w:sz="4" w:space="0"/>
              <w:bottom w:val="single" w:color="000000" w:sz="4" w:space="0"/>
              <w:right w:val="single" w:color="000000" w:sz="4" w:space="0"/>
            </w:tcBorders>
            <w:noWrap w:val="0"/>
            <w:vAlign w:val="bottom"/>
          </w:tcPr>
          <w:p>
            <w:pPr>
              <w:jc w:val="right"/>
              <w:rPr>
                <w:rFonts w:ascii="Tahoma" w:hAnsi="Tahoma" w:eastAsia="Tahoma" w:cs="Tahoma"/>
                <w:color w:val="000000"/>
                <w:sz w:val="22"/>
                <w:szCs w:val="22"/>
              </w:rPr>
            </w:pPr>
          </w:p>
        </w:tc>
        <w:tc>
          <w:tcPr>
            <w:tcW w:w="1176" w:type="dxa"/>
            <w:tcBorders>
              <w:top w:val="single" w:color="000000" w:sz="4" w:space="0"/>
              <w:left w:val="single" w:color="000000" w:sz="4" w:space="0"/>
              <w:bottom w:val="single" w:color="000000" w:sz="4" w:space="0"/>
              <w:right w:val="single" w:color="000000" w:sz="4" w:space="0"/>
            </w:tcBorders>
            <w:noWrap w:val="0"/>
            <w:vAlign w:val="bottom"/>
          </w:tcPr>
          <w:p>
            <w:pPr>
              <w:rPr>
                <w:rFonts w:ascii="Tahoma" w:hAnsi="Tahoma" w:eastAsia="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津补贴</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707548</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707548</w:t>
            </w:r>
          </w:p>
        </w:tc>
      </w:tr>
      <w:tr>
        <w:trPr>
          <w:trHeight w:val="288" w:hRule="atLeast"/>
        </w:trPr>
        <w:tc>
          <w:tcPr>
            <w:tcW w:w="1081" w:type="dxa"/>
            <w:vMerge w:val="continue"/>
            <w:tcBorders>
              <w:top w:val="single" w:color="000000" w:sz="4" w:space="0"/>
              <w:left w:val="single" w:color="000000" w:sz="4" w:space="0"/>
              <w:bottom w:val="single" w:color="000000" w:sz="4" w:space="0"/>
              <w:right w:val="single" w:color="000000" w:sz="4" w:space="0"/>
            </w:tcBorders>
            <w:noWrap w:val="0"/>
            <w:vAlign w:val="bottom"/>
          </w:tcPr>
          <w:p>
            <w:pPr>
              <w:jc w:val="right"/>
              <w:rPr>
                <w:rFonts w:ascii="Tahoma" w:hAnsi="Tahoma" w:eastAsia="Tahoma" w:cs="Tahoma"/>
                <w:color w:val="000000"/>
                <w:sz w:val="22"/>
                <w:szCs w:val="22"/>
              </w:rPr>
            </w:pPr>
          </w:p>
        </w:tc>
        <w:tc>
          <w:tcPr>
            <w:tcW w:w="1176" w:type="dxa"/>
            <w:tcBorders>
              <w:top w:val="single" w:color="000000" w:sz="4" w:space="0"/>
              <w:left w:val="single" w:color="000000" w:sz="4" w:space="0"/>
              <w:bottom w:val="single" w:color="000000" w:sz="4" w:space="0"/>
              <w:right w:val="single" w:color="000000" w:sz="4" w:space="0"/>
            </w:tcBorders>
            <w:noWrap w:val="0"/>
            <w:vAlign w:val="bottom"/>
          </w:tcPr>
          <w:p>
            <w:pPr>
              <w:rPr>
                <w:rFonts w:ascii="Tahoma" w:hAnsi="Tahoma" w:eastAsia="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绩效奖</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530920</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530920</w:t>
            </w:r>
          </w:p>
        </w:tc>
      </w:tr>
      <w:tr>
        <w:tblPrEx>
          <w:tblCellMar>
            <w:top w:w="0" w:type="dxa"/>
            <w:left w:w="108" w:type="dxa"/>
            <w:bottom w:w="0" w:type="dxa"/>
            <w:right w:w="108" w:type="dxa"/>
          </w:tblCellMar>
        </w:tblPrEx>
        <w:trPr>
          <w:trHeight w:val="288" w:hRule="atLeast"/>
        </w:trPr>
        <w:tc>
          <w:tcPr>
            <w:tcW w:w="1081" w:type="dxa"/>
            <w:vMerge w:val="continue"/>
            <w:tcBorders>
              <w:top w:val="single" w:color="000000" w:sz="4" w:space="0"/>
              <w:left w:val="single" w:color="000000" w:sz="4" w:space="0"/>
              <w:bottom w:val="single" w:color="000000" w:sz="4" w:space="0"/>
              <w:right w:val="single" w:color="000000" w:sz="4" w:space="0"/>
            </w:tcBorders>
            <w:noWrap w:val="0"/>
            <w:vAlign w:val="bottom"/>
          </w:tcPr>
          <w:p>
            <w:pPr>
              <w:jc w:val="right"/>
              <w:rPr>
                <w:rFonts w:ascii="Tahoma" w:hAnsi="Tahoma" w:eastAsia="Tahoma" w:cs="Tahoma"/>
                <w:color w:val="000000"/>
                <w:sz w:val="22"/>
                <w:szCs w:val="22"/>
              </w:rPr>
            </w:pPr>
          </w:p>
        </w:tc>
        <w:tc>
          <w:tcPr>
            <w:tcW w:w="1176" w:type="dxa"/>
            <w:tcBorders>
              <w:top w:val="single" w:color="000000" w:sz="4" w:space="0"/>
              <w:left w:val="single" w:color="000000" w:sz="4" w:space="0"/>
              <w:bottom w:val="single" w:color="000000" w:sz="4" w:space="0"/>
              <w:right w:val="single" w:color="000000" w:sz="4" w:space="0"/>
            </w:tcBorders>
            <w:noWrap w:val="0"/>
            <w:vAlign w:val="bottom"/>
          </w:tcPr>
          <w:p>
            <w:pPr>
              <w:rPr>
                <w:rFonts w:ascii="Tahoma" w:hAnsi="Tahoma" w:eastAsia="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车补</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226140</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226140</w:t>
            </w:r>
          </w:p>
        </w:tc>
      </w:tr>
      <w:tr>
        <w:trPr>
          <w:trHeight w:val="576" w:hRule="atLeast"/>
        </w:trPr>
        <w:tc>
          <w:tcPr>
            <w:tcW w:w="1081"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Tahoma" w:hAnsi="Tahoma" w:cs="Tahoma"/>
                <w:color w:val="000000"/>
                <w:sz w:val="22"/>
                <w:szCs w:val="22"/>
              </w:rPr>
            </w:pPr>
            <w:r>
              <w:rPr>
                <w:rFonts w:ascii="Tahoma" w:hAnsi="Tahoma" w:eastAsia="Tahoma" w:cs="Tahoma"/>
                <w:color w:val="000000"/>
                <w:kern w:val="0"/>
                <w:sz w:val="22"/>
                <w:szCs w:val="22"/>
                <w:lang w:bidi="ar"/>
              </w:rPr>
              <w:t>20123</w:t>
            </w:r>
            <w:r>
              <w:rPr>
                <w:rFonts w:hint="eastAsia" w:ascii="Tahoma" w:hAnsi="Tahoma" w:cs="Tahoma"/>
                <w:color w:val="000000"/>
                <w:kern w:val="0"/>
                <w:sz w:val="22"/>
                <w:szCs w:val="22"/>
                <w:lang w:bidi="ar"/>
              </w:rPr>
              <w:t>99</w:t>
            </w:r>
          </w:p>
        </w:tc>
        <w:tc>
          <w:tcPr>
            <w:tcW w:w="1176" w:type="dxa"/>
            <w:tcBorders>
              <w:top w:val="single" w:color="000000" w:sz="4" w:space="0"/>
              <w:left w:val="single" w:color="000000" w:sz="4" w:space="0"/>
              <w:bottom w:val="single" w:color="000000" w:sz="4" w:space="0"/>
              <w:right w:val="single" w:color="000000" w:sz="4" w:space="0"/>
            </w:tcBorders>
            <w:noWrap w:val="0"/>
            <w:vAlign w:val="bottom"/>
          </w:tcPr>
          <w:p>
            <w:pPr>
              <w:rPr>
                <w:rFonts w:ascii="Tahoma" w:hAnsi="Tahoma" w:eastAsia="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2022年度绩效考核奖金补发</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281000</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281000</w:t>
            </w:r>
          </w:p>
        </w:tc>
      </w:tr>
      <w:tr>
        <w:tblPrEx>
          <w:tblCellMar>
            <w:top w:w="0" w:type="dxa"/>
            <w:left w:w="108" w:type="dxa"/>
            <w:bottom w:w="0" w:type="dxa"/>
            <w:right w:w="108" w:type="dxa"/>
          </w:tblCellMar>
        </w:tblPrEx>
        <w:trPr>
          <w:trHeight w:val="576" w:hRule="atLeast"/>
        </w:trPr>
        <w:tc>
          <w:tcPr>
            <w:tcW w:w="1081"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2080599</w:t>
            </w:r>
          </w:p>
        </w:tc>
        <w:tc>
          <w:tcPr>
            <w:tcW w:w="1176" w:type="dxa"/>
            <w:tcBorders>
              <w:top w:val="single" w:color="000000" w:sz="4" w:space="0"/>
              <w:left w:val="single" w:color="000000" w:sz="4" w:space="0"/>
              <w:bottom w:val="single" w:color="000000" w:sz="4" w:space="0"/>
              <w:right w:val="single" w:color="000000" w:sz="4" w:space="0"/>
            </w:tcBorders>
            <w:noWrap w:val="0"/>
            <w:vAlign w:val="bottom"/>
          </w:tcPr>
          <w:p>
            <w:pPr>
              <w:rPr>
                <w:rFonts w:ascii="Tahoma" w:hAnsi="Tahoma" w:eastAsia="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2021年退休人员春节补助</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228795</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228795</w:t>
            </w:r>
          </w:p>
        </w:tc>
      </w:tr>
      <w:tr>
        <w:trPr>
          <w:trHeight w:val="288" w:hRule="atLeast"/>
        </w:trPr>
        <w:tc>
          <w:tcPr>
            <w:tcW w:w="1081"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2080501</w:t>
            </w:r>
          </w:p>
        </w:tc>
        <w:tc>
          <w:tcPr>
            <w:tcW w:w="1176" w:type="dxa"/>
            <w:tcBorders>
              <w:top w:val="single" w:color="000000" w:sz="4" w:space="0"/>
              <w:left w:val="single" w:color="000000" w:sz="4" w:space="0"/>
              <w:bottom w:val="single" w:color="000000" w:sz="4" w:space="0"/>
              <w:right w:val="single" w:color="000000" w:sz="4" w:space="0"/>
            </w:tcBorders>
            <w:noWrap w:val="0"/>
            <w:vAlign w:val="bottom"/>
          </w:tcPr>
          <w:p>
            <w:pPr>
              <w:rPr>
                <w:rFonts w:ascii="Tahoma" w:hAnsi="Tahoma" w:eastAsia="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退休人员公用经费</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20145</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20145</w:t>
            </w:r>
          </w:p>
        </w:tc>
      </w:tr>
      <w:tr>
        <w:tblPrEx>
          <w:tblCellMar>
            <w:top w:w="0" w:type="dxa"/>
            <w:left w:w="108" w:type="dxa"/>
            <w:bottom w:w="0" w:type="dxa"/>
            <w:right w:w="108" w:type="dxa"/>
          </w:tblCellMar>
        </w:tblPrEx>
        <w:trPr>
          <w:trHeight w:val="288" w:hRule="atLeast"/>
        </w:trPr>
        <w:tc>
          <w:tcPr>
            <w:tcW w:w="1081"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2101101</w:t>
            </w:r>
          </w:p>
        </w:tc>
        <w:tc>
          <w:tcPr>
            <w:tcW w:w="1176" w:type="dxa"/>
            <w:tcBorders>
              <w:top w:val="single" w:color="000000" w:sz="4" w:space="0"/>
              <w:left w:val="single" w:color="000000" w:sz="4" w:space="0"/>
              <w:bottom w:val="single" w:color="000000" w:sz="4" w:space="0"/>
              <w:right w:val="single" w:color="000000" w:sz="4" w:space="0"/>
            </w:tcBorders>
            <w:noWrap w:val="0"/>
            <w:vAlign w:val="bottom"/>
          </w:tcPr>
          <w:p>
            <w:pPr>
              <w:rPr>
                <w:rFonts w:ascii="Tahoma" w:hAnsi="Tahoma" w:eastAsia="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医保</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175831.63</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175831.63</w:t>
            </w:r>
          </w:p>
        </w:tc>
      </w:tr>
      <w:tr>
        <w:trPr>
          <w:trHeight w:val="288" w:hRule="atLeast"/>
        </w:trPr>
        <w:tc>
          <w:tcPr>
            <w:tcW w:w="1081"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2080505</w:t>
            </w:r>
          </w:p>
        </w:tc>
        <w:tc>
          <w:tcPr>
            <w:tcW w:w="1176" w:type="dxa"/>
            <w:tcBorders>
              <w:top w:val="single" w:color="000000" w:sz="4" w:space="0"/>
              <w:left w:val="single" w:color="000000" w:sz="4" w:space="0"/>
              <w:bottom w:val="single" w:color="000000" w:sz="4" w:space="0"/>
              <w:right w:val="single" w:color="000000" w:sz="4" w:space="0"/>
            </w:tcBorders>
            <w:noWrap w:val="0"/>
            <w:vAlign w:val="bottom"/>
          </w:tcPr>
          <w:p>
            <w:pPr>
              <w:rPr>
                <w:rFonts w:ascii="Tahoma" w:hAnsi="Tahoma" w:eastAsia="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养老保险</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434789.28</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434789.28</w:t>
            </w:r>
          </w:p>
        </w:tc>
      </w:tr>
      <w:tr>
        <w:tblPrEx>
          <w:tblCellMar>
            <w:top w:w="0" w:type="dxa"/>
            <w:left w:w="108" w:type="dxa"/>
            <w:bottom w:w="0" w:type="dxa"/>
            <w:right w:w="108" w:type="dxa"/>
          </w:tblCellMar>
        </w:tblPrEx>
        <w:trPr>
          <w:trHeight w:val="288" w:hRule="atLeast"/>
        </w:trPr>
        <w:tc>
          <w:tcPr>
            <w:tcW w:w="1081"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2012399</w:t>
            </w:r>
          </w:p>
        </w:tc>
        <w:tc>
          <w:tcPr>
            <w:tcW w:w="1176" w:type="dxa"/>
            <w:tcBorders>
              <w:top w:val="single" w:color="000000" w:sz="4" w:space="0"/>
              <w:left w:val="single" w:color="000000" w:sz="4" w:space="0"/>
              <w:bottom w:val="single" w:color="000000" w:sz="4" w:space="0"/>
              <w:right w:val="single" w:color="000000" w:sz="4" w:space="0"/>
            </w:tcBorders>
            <w:noWrap w:val="0"/>
            <w:vAlign w:val="bottom"/>
          </w:tcPr>
          <w:p>
            <w:pPr>
              <w:rPr>
                <w:rFonts w:ascii="Tahoma" w:hAnsi="Tahoma" w:eastAsia="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遗属补助</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8280</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8280</w:t>
            </w:r>
          </w:p>
        </w:tc>
      </w:tr>
      <w:tr>
        <w:trPr>
          <w:trHeight w:val="288" w:hRule="atLeast"/>
        </w:trPr>
        <w:tc>
          <w:tcPr>
            <w:tcW w:w="1081"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2012301</w:t>
            </w:r>
          </w:p>
        </w:tc>
        <w:tc>
          <w:tcPr>
            <w:tcW w:w="1176" w:type="dxa"/>
            <w:tcBorders>
              <w:top w:val="single" w:color="000000" w:sz="4" w:space="0"/>
              <w:left w:val="single" w:color="000000" w:sz="4" w:space="0"/>
              <w:bottom w:val="single" w:color="000000" w:sz="4" w:space="0"/>
              <w:right w:val="single" w:color="000000" w:sz="4" w:space="0"/>
            </w:tcBorders>
            <w:noWrap w:val="0"/>
            <w:vAlign w:val="bottom"/>
          </w:tcPr>
          <w:p>
            <w:pPr>
              <w:rPr>
                <w:rFonts w:ascii="Tahoma" w:hAnsi="Tahoma" w:eastAsia="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公用经费、福利费、</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618238.02</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618238.02</w:t>
            </w:r>
          </w:p>
        </w:tc>
      </w:tr>
      <w:tr>
        <w:tblPrEx>
          <w:tblCellMar>
            <w:top w:w="0" w:type="dxa"/>
            <w:left w:w="108" w:type="dxa"/>
            <w:bottom w:w="0" w:type="dxa"/>
            <w:right w:w="108" w:type="dxa"/>
          </w:tblCellMar>
        </w:tblPrEx>
        <w:trPr>
          <w:trHeight w:val="640" w:hRule="atLeast"/>
        </w:trPr>
        <w:tc>
          <w:tcPr>
            <w:tcW w:w="1081" w:type="dxa"/>
            <w:tcBorders>
              <w:top w:val="single" w:color="000000" w:sz="4" w:space="0"/>
              <w:left w:val="single" w:color="000000" w:sz="4" w:space="0"/>
              <w:bottom w:val="single" w:color="000000" w:sz="4" w:space="0"/>
              <w:right w:val="single" w:color="000000" w:sz="4" w:space="0"/>
            </w:tcBorders>
            <w:noWrap w:val="0"/>
            <w:vAlign w:val="bottom"/>
          </w:tcPr>
          <w:p>
            <w:pPr>
              <w:rPr>
                <w:rFonts w:ascii="Tahoma" w:hAnsi="Tahoma" w:eastAsia="Tahoma" w:cs="Tahoma"/>
                <w:color w:val="000000"/>
                <w:sz w:val="22"/>
                <w:szCs w:val="22"/>
              </w:rPr>
            </w:pPr>
          </w:p>
        </w:tc>
        <w:tc>
          <w:tcPr>
            <w:tcW w:w="1176" w:type="dxa"/>
            <w:tcBorders>
              <w:top w:val="single" w:color="000000" w:sz="4" w:space="0"/>
              <w:left w:val="single" w:color="000000" w:sz="4" w:space="0"/>
              <w:bottom w:val="single" w:color="000000" w:sz="4" w:space="0"/>
              <w:right w:val="single" w:color="000000" w:sz="4" w:space="0"/>
            </w:tcBorders>
            <w:noWrap w:val="0"/>
            <w:vAlign w:val="bottom"/>
          </w:tcPr>
          <w:p>
            <w:pPr>
              <w:rPr>
                <w:rFonts w:hint="eastAsia" w:ascii="Tahoma" w:hAnsi="Tahoma" w:cs="Tahoma"/>
                <w:color w:val="000000"/>
                <w:sz w:val="22"/>
                <w:szCs w:val="22"/>
              </w:rPr>
            </w:pPr>
            <w:r>
              <w:rPr>
                <w:rFonts w:hint="eastAsia" w:ascii="Tahoma" w:hAnsi="Tahoma" w:cs="Tahoma"/>
                <w:color w:val="000000"/>
                <w:sz w:val="22"/>
                <w:szCs w:val="22"/>
              </w:rPr>
              <w:t>合计</w:t>
            </w:r>
          </w:p>
        </w:tc>
        <w:tc>
          <w:tcPr>
            <w:tcW w:w="2148" w:type="dxa"/>
            <w:tcBorders>
              <w:top w:val="single" w:color="000000" w:sz="4" w:space="0"/>
              <w:left w:val="single" w:color="000000" w:sz="4" w:space="0"/>
              <w:bottom w:val="single" w:color="000000" w:sz="4" w:space="0"/>
              <w:right w:val="single" w:color="000000" w:sz="4" w:space="0"/>
            </w:tcBorders>
            <w:noWrap w:val="0"/>
            <w:vAlign w:val="bottom"/>
          </w:tcPr>
          <w:p>
            <w:pPr>
              <w:rPr>
                <w:rFonts w:hint="eastAsia" w:ascii="宋体" w:hAnsi="宋体" w:cs="宋体"/>
                <w:color w:val="000000"/>
                <w:sz w:val="22"/>
                <w:szCs w:val="22"/>
              </w:rPr>
            </w:pPr>
          </w:p>
        </w:tc>
        <w:tc>
          <w:tcPr>
            <w:tcW w:w="1932"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4752434.33</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4752434.33</w:t>
            </w:r>
          </w:p>
        </w:tc>
      </w:tr>
    </w:tbl>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40" w:right="0" w:firstLine="0"/>
        <w:textAlignment w:val="auto"/>
        <w:rPr>
          <w:rFonts w:hint="default" w:ascii="仿宋_GB2312" w:eastAsia="仿宋_GB2312" w:cs="仿宋_GB2312"/>
          <w:i w:val="0"/>
          <w:iCs w:val="0"/>
          <w:caps w:val="0"/>
          <w:color w:val="000000"/>
          <w:spacing w:val="0"/>
          <w:sz w:val="32"/>
          <w:szCs w:val="32"/>
          <w:shd w:val="clear" w:fill="FFFFFF"/>
        </w:rPr>
      </w:pPr>
    </w:p>
    <w:p>
      <w:pPr>
        <w:pStyle w:val="7"/>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40" w:right="0" w:firstLine="0"/>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项目支出情况</w:t>
      </w:r>
    </w:p>
    <w:tbl>
      <w:tblPr>
        <w:tblStyle w:val="9"/>
        <w:tblW w:w="8365" w:type="dxa"/>
        <w:tblInd w:w="96" w:type="dxa"/>
        <w:tblLayout w:type="autofit"/>
        <w:tblCellMar>
          <w:top w:w="0" w:type="dxa"/>
          <w:left w:w="108" w:type="dxa"/>
          <w:bottom w:w="0" w:type="dxa"/>
          <w:right w:w="108" w:type="dxa"/>
        </w:tblCellMar>
      </w:tblPr>
      <w:tblGrid>
        <w:gridCol w:w="1081"/>
        <w:gridCol w:w="1176"/>
        <w:gridCol w:w="2148"/>
        <w:gridCol w:w="1932"/>
        <w:gridCol w:w="2028"/>
      </w:tblGrid>
      <w:tr>
        <w:tblPrEx>
          <w:tblCellMar>
            <w:top w:w="0" w:type="dxa"/>
            <w:left w:w="108" w:type="dxa"/>
            <w:bottom w:w="0" w:type="dxa"/>
            <w:right w:w="108" w:type="dxa"/>
          </w:tblCellMar>
        </w:tblPrEx>
        <w:trPr>
          <w:trHeight w:val="288" w:hRule="atLeast"/>
        </w:trPr>
        <w:tc>
          <w:tcPr>
            <w:tcW w:w="1081"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Tahoma" w:hAnsi="Tahoma" w:cs="Tahoma"/>
                <w:color w:val="000000"/>
                <w:kern w:val="0"/>
                <w:sz w:val="22"/>
                <w:szCs w:val="22"/>
                <w:lang w:bidi="ar"/>
              </w:rPr>
            </w:pPr>
            <w:r>
              <w:rPr>
                <w:rFonts w:hint="eastAsia" w:ascii="Tahoma" w:hAnsi="Tahoma" w:cs="Tahoma"/>
                <w:color w:val="000000"/>
                <w:kern w:val="0"/>
                <w:sz w:val="22"/>
                <w:szCs w:val="22"/>
                <w:lang w:bidi="ar"/>
              </w:rPr>
              <w:t>功能科目</w:t>
            </w:r>
          </w:p>
        </w:tc>
        <w:tc>
          <w:tcPr>
            <w:tcW w:w="1176" w:type="dxa"/>
            <w:tcBorders>
              <w:top w:val="single" w:color="000000" w:sz="4" w:space="0"/>
              <w:left w:val="single" w:color="000000" w:sz="4" w:space="0"/>
              <w:bottom w:val="single" w:color="000000" w:sz="4" w:space="0"/>
              <w:right w:val="single" w:color="000000" w:sz="4" w:space="0"/>
            </w:tcBorders>
            <w:noWrap w:val="0"/>
            <w:vAlign w:val="bottom"/>
          </w:tcPr>
          <w:p>
            <w:pPr>
              <w:rPr>
                <w:rFonts w:hint="eastAsia" w:ascii="Tahoma" w:hAnsi="Tahoma" w:cs="Tahoma"/>
                <w:b/>
                <w:color w:val="000000"/>
                <w:sz w:val="22"/>
                <w:szCs w:val="22"/>
              </w:rPr>
            </w:pPr>
            <w:r>
              <w:rPr>
                <w:rFonts w:hint="eastAsia" w:ascii="Tahoma" w:hAnsi="Tahoma" w:cs="Tahoma"/>
                <w:b/>
                <w:color w:val="000000"/>
                <w:sz w:val="22"/>
                <w:szCs w:val="22"/>
              </w:rPr>
              <w:t>项目支出</w:t>
            </w:r>
          </w:p>
        </w:tc>
        <w:tc>
          <w:tcPr>
            <w:tcW w:w="2148" w:type="dxa"/>
            <w:tcBorders>
              <w:top w:val="single" w:color="000000" w:sz="4" w:space="0"/>
              <w:left w:val="single" w:color="000000" w:sz="4" w:space="0"/>
              <w:bottom w:val="single" w:color="000000" w:sz="4" w:space="0"/>
              <w:right w:val="single" w:color="000000" w:sz="4" w:space="0"/>
            </w:tcBorders>
            <w:noWrap w:val="0"/>
            <w:vAlign w:val="bottom"/>
          </w:tcPr>
          <w:p>
            <w:pPr>
              <w:widowControl/>
              <w:ind w:firstLine="660" w:firstLineChars="300"/>
              <w:jc w:val="left"/>
              <w:textAlignment w:val="bottom"/>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项目</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pPr>
              <w:widowControl/>
              <w:ind w:right="440"/>
              <w:textAlignment w:val="bottom"/>
              <w:rPr>
                <w:rFonts w:hint="eastAsia" w:ascii="Tahoma" w:hAnsi="Tahoma" w:cs="Tahoma"/>
                <w:color w:val="000000"/>
                <w:kern w:val="0"/>
                <w:sz w:val="22"/>
                <w:szCs w:val="22"/>
                <w:lang w:bidi="ar"/>
              </w:rPr>
            </w:pPr>
            <w:r>
              <w:rPr>
                <w:rFonts w:hint="eastAsia" w:ascii="Tahoma" w:hAnsi="Tahoma" w:cs="Tahoma"/>
                <w:color w:val="000000"/>
                <w:kern w:val="0"/>
                <w:sz w:val="22"/>
                <w:szCs w:val="22"/>
                <w:lang w:bidi="ar"/>
              </w:rPr>
              <w:t>收入（元）</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pPr>
              <w:widowControl/>
              <w:ind w:right="440"/>
              <w:textAlignment w:val="bottom"/>
              <w:rPr>
                <w:rFonts w:hint="eastAsia" w:ascii="Tahoma" w:hAnsi="Tahoma" w:cs="Tahoma"/>
                <w:color w:val="000000"/>
                <w:kern w:val="0"/>
                <w:sz w:val="22"/>
                <w:szCs w:val="22"/>
                <w:lang w:bidi="ar"/>
              </w:rPr>
            </w:pPr>
            <w:r>
              <w:rPr>
                <w:rFonts w:hint="eastAsia" w:ascii="Tahoma" w:hAnsi="Tahoma" w:cs="Tahoma"/>
                <w:color w:val="000000"/>
                <w:kern w:val="0"/>
                <w:sz w:val="22"/>
                <w:szCs w:val="22"/>
                <w:lang w:bidi="ar"/>
              </w:rPr>
              <w:t>支出（元）</w:t>
            </w:r>
          </w:p>
        </w:tc>
      </w:tr>
      <w:tr>
        <w:tblPrEx>
          <w:tblCellMar>
            <w:top w:w="0" w:type="dxa"/>
            <w:left w:w="108" w:type="dxa"/>
            <w:bottom w:w="0" w:type="dxa"/>
            <w:right w:w="108" w:type="dxa"/>
          </w:tblCellMar>
        </w:tblPrEx>
        <w:trPr>
          <w:trHeight w:val="288" w:hRule="atLeast"/>
        </w:trPr>
        <w:tc>
          <w:tcPr>
            <w:tcW w:w="1081"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2012399</w:t>
            </w:r>
          </w:p>
        </w:tc>
        <w:tc>
          <w:tcPr>
            <w:tcW w:w="1176" w:type="dxa"/>
            <w:tcBorders>
              <w:top w:val="single" w:color="000000" w:sz="4" w:space="0"/>
              <w:left w:val="single" w:color="000000" w:sz="4" w:space="0"/>
              <w:bottom w:val="single" w:color="000000" w:sz="4" w:space="0"/>
              <w:right w:val="single" w:color="000000" w:sz="4" w:space="0"/>
            </w:tcBorders>
            <w:noWrap w:val="0"/>
            <w:vAlign w:val="bottom"/>
          </w:tcPr>
          <w:p>
            <w:pPr>
              <w:rPr>
                <w:rFonts w:ascii="Tahoma" w:hAnsi="Tahoma" w:eastAsia="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省民族运动会专项经费</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200000</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200000</w:t>
            </w:r>
          </w:p>
        </w:tc>
      </w:tr>
      <w:tr>
        <w:tblPrEx>
          <w:tblCellMar>
            <w:top w:w="0" w:type="dxa"/>
            <w:left w:w="108" w:type="dxa"/>
            <w:bottom w:w="0" w:type="dxa"/>
            <w:right w:w="108" w:type="dxa"/>
          </w:tblCellMar>
        </w:tblPrEx>
        <w:trPr>
          <w:trHeight w:val="288" w:hRule="atLeast"/>
        </w:trPr>
        <w:tc>
          <w:tcPr>
            <w:tcW w:w="1081"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Tahoma" w:hAnsi="Tahoma" w:cs="Tahoma"/>
                <w:color w:val="000000"/>
                <w:sz w:val="22"/>
                <w:szCs w:val="22"/>
              </w:rPr>
            </w:pPr>
            <w:r>
              <w:rPr>
                <w:rFonts w:ascii="Tahoma" w:hAnsi="Tahoma" w:eastAsia="Tahoma" w:cs="Tahoma"/>
                <w:color w:val="000000"/>
                <w:kern w:val="0"/>
                <w:sz w:val="22"/>
                <w:szCs w:val="22"/>
                <w:lang w:bidi="ar"/>
              </w:rPr>
              <w:t>20123</w:t>
            </w:r>
            <w:r>
              <w:rPr>
                <w:rFonts w:hint="eastAsia" w:ascii="Tahoma" w:hAnsi="Tahoma" w:cs="Tahoma"/>
                <w:color w:val="000000"/>
                <w:kern w:val="0"/>
                <w:sz w:val="22"/>
                <w:szCs w:val="22"/>
                <w:lang w:bidi="ar"/>
              </w:rPr>
              <w:t>99</w:t>
            </w:r>
          </w:p>
        </w:tc>
        <w:tc>
          <w:tcPr>
            <w:tcW w:w="1176" w:type="dxa"/>
            <w:tcBorders>
              <w:top w:val="single" w:color="000000" w:sz="4" w:space="0"/>
              <w:left w:val="single" w:color="000000" w:sz="4" w:space="0"/>
              <w:bottom w:val="single" w:color="000000" w:sz="4" w:space="0"/>
              <w:right w:val="single" w:color="000000" w:sz="4" w:space="0"/>
            </w:tcBorders>
            <w:noWrap w:val="0"/>
            <w:vAlign w:val="bottom"/>
          </w:tcPr>
          <w:p>
            <w:pPr>
              <w:rPr>
                <w:rFonts w:ascii="Tahoma" w:hAnsi="Tahoma" w:eastAsia="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创建“全国民族团结进步示范市”工作净经费</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1799974.02</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1799974.02</w:t>
            </w:r>
          </w:p>
        </w:tc>
      </w:tr>
      <w:tr>
        <w:tblPrEx>
          <w:tblCellMar>
            <w:top w:w="0" w:type="dxa"/>
            <w:left w:w="108" w:type="dxa"/>
            <w:bottom w:w="0" w:type="dxa"/>
            <w:right w:w="108" w:type="dxa"/>
          </w:tblCellMar>
        </w:tblPrEx>
        <w:trPr>
          <w:trHeight w:val="288" w:hRule="atLeast"/>
        </w:trPr>
        <w:tc>
          <w:tcPr>
            <w:tcW w:w="1081"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2012301</w:t>
            </w:r>
          </w:p>
        </w:tc>
        <w:tc>
          <w:tcPr>
            <w:tcW w:w="1176" w:type="dxa"/>
            <w:tcBorders>
              <w:top w:val="single" w:color="000000" w:sz="4" w:space="0"/>
              <w:left w:val="single" w:color="000000" w:sz="4" w:space="0"/>
              <w:bottom w:val="single" w:color="000000" w:sz="4" w:space="0"/>
              <w:right w:val="single" w:color="000000" w:sz="4" w:space="0"/>
            </w:tcBorders>
            <w:noWrap w:val="0"/>
            <w:vAlign w:val="bottom"/>
          </w:tcPr>
          <w:p>
            <w:pPr>
              <w:rPr>
                <w:rFonts w:ascii="Tahoma" w:hAnsi="Tahoma" w:eastAsia="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少数民族工作经费</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991209.05</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991209.05</w:t>
            </w:r>
          </w:p>
        </w:tc>
      </w:tr>
      <w:tr>
        <w:tblPrEx>
          <w:tblCellMar>
            <w:top w:w="0" w:type="dxa"/>
            <w:left w:w="108" w:type="dxa"/>
            <w:bottom w:w="0" w:type="dxa"/>
            <w:right w:w="108" w:type="dxa"/>
          </w:tblCellMar>
        </w:tblPrEx>
        <w:trPr>
          <w:trHeight w:val="288" w:hRule="atLeast"/>
        </w:trPr>
        <w:tc>
          <w:tcPr>
            <w:tcW w:w="1081"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2012301</w:t>
            </w:r>
          </w:p>
        </w:tc>
        <w:tc>
          <w:tcPr>
            <w:tcW w:w="1176" w:type="dxa"/>
            <w:tcBorders>
              <w:top w:val="single" w:color="000000" w:sz="4" w:space="0"/>
              <w:left w:val="single" w:color="000000" w:sz="4" w:space="0"/>
              <w:bottom w:val="single" w:color="000000" w:sz="4" w:space="0"/>
              <w:right w:val="single" w:color="000000" w:sz="4" w:space="0"/>
            </w:tcBorders>
            <w:noWrap w:val="0"/>
            <w:vAlign w:val="bottom"/>
          </w:tcPr>
          <w:p>
            <w:pPr>
              <w:rPr>
                <w:rFonts w:ascii="Tahoma" w:hAnsi="Tahoma" w:eastAsia="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调研培训经费</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25454.93</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25454.93</w:t>
            </w:r>
          </w:p>
        </w:tc>
      </w:tr>
      <w:tr>
        <w:tblPrEx>
          <w:tblCellMar>
            <w:top w:w="0" w:type="dxa"/>
            <w:left w:w="108" w:type="dxa"/>
            <w:bottom w:w="0" w:type="dxa"/>
            <w:right w:w="108" w:type="dxa"/>
          </w:tblCellMar>
        </w:tblPrEx>
        <w:trPr>
          <w:trHeight w:val="288" w:hRule="atLeast"/>
        </w:trPr>
        <w:tc>
          <w:tcPr>
            <w:tcW w:w="1081"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Tahoma" w:hAnsi="Tahoma" w:cs="Tahoma"/>
                <w:color w:val="000000"/>
                <w:sz w:val="22"/>
                <w:szCs w:val="22"/>
              </w:rPr>
            </w:pPr>
            <w:r>
              <w:rPr>
                <w:rFonts w:ascii="Tahoma" w:hAnsi="Tahoma" w:eastAsia="Tahoma" w:cs="Tahoma"/>
                <w:color w:val="000000"/>
                <w:kern w:val="0"/>
                <w:sz w:val="22"/>
                <w:szCs w:val="22"/>
                <w:lang w:bidi="ar"/>
              </w:rPr>
              <w:t>201230</w:t>
            </w:r>
            <w:r>
              <w:rPr>
                <w:rFonts w:hint="eastAsia" w:ascii="Tahoma" w:hAnsi="Tahoma" w:cs="Tahoma"/>
                <w:color w:val="000000"/>
                <w:kern w:val="0"/>
                <w:sz w:val="22"/>
                <w:szCs w:val="22"/>
                <w:lang w:bidi="ar"/>
              </w:rPr>
              <w:t>2</w:t>
            </w:r>
          </w:p>
        </w:tc>
        <w:tc>
          <w:tcPr>
            <w:tcW w:w="1176" w:type="dxa"/>
            <w:tcBorders>
              <w:top w:val="single" w:color="000000" w:sz="4" w:space="0"/>
              <w:left w:val="single" w:color="000000" w:sz="4" w:space="0"/>
              <w:bottom w:val="single" w:color="000000" w:sz="4" w:space="0"/>
              <w:right w:val="single" w:color="000000" w:sz="4" w:space="0"/>
            </w:tcBorders>
            <w:noWrap w:val="0"/>
            <w:vAlign w:val="bottom"/>
          </w:tcPr>
          <w:p>
            <w:pPr>
              <w:rPr>
                <w:rFonts w:ascii="Tahoma" w:hAnsi="Tahoma" w:eastAsia="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宗教事务经费</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293742.16</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297342.16</w:t>
            </w:r>
          </w:p>
        </w:tc>
      </w:tr>
      <w:tr>
        <w:tblPrEx>
          <w:tblCellMar>
            <w:top w:w="0" w:type="dxa"/>
            <w:left w:w="108" w:type="dxa"/>
            <w:bottom w:w="0" w:type="dxa"/>
            <w:right w:w="108" w:type="dxa"/>
          </w:tblCellMar>
        </w:tblPrEx>
        <w:trPr>
          <w:trHeight w:val="576" w:hRule="atLeast"/>
        </w:trPr>
        <w:tc>
          <w:tcPr>
            <w:tcW w:w="1081"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2012301</w:t>
            </w:r>
          </w:p>
        </w:tc>
        <w:tc>
          <w:tcPr>
            <w:tcW w:w="1176" w:type="dxa"/>
            <w:tcBorders>
              <w:top w:val="single" w:color="000000" w:sz="4" w:space="0"/>
              <w:left w:val="single" w:color="000000" w:sz="4" w:space="0"/>
              <w:bottom w:val="single" w:color="000000" w:sz="4" w:space="0"/>
              <w:right w:val="single" w:color="000000" w:sz="4" w:space="0"/>
            </w:tcBorders>
            <w:noWrap w:val="0"/>
            <w:vAlign w:val="bottom"/>
          </w:tcPr>
          <w:p>
            <w:pPr>
              <w:rPr>
                <w:rFonts w:ascii="Tahoma" w:hAnsi="Tahoma" w:eastAsia="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少数民族文化发展资金</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300000</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300000</w:t>
            </w:r>
          </w:p>
        </w:tc>
      </w:tr>
      <w:tr>
        <w:tblPrEx>
          <w:tblCellMar>
            <w:top w:w="0" w:type="dxa"/>
            <w:left w:w="108" w:type="dxa"/>
            <w:bottom w:w="0" w:type="dxa"/>
            <w:right w:w="108" w:type="dxa"/>
          </w:tblCellMar>
        </w:tblPrEx>
        <w:trPr>
          <w:trHeight w:val="288" w:hRule="atLeast"/>
        </w:trPr>
        <w:tc>
          <w:tcPr>
            <w:tcW w:w="1081"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2012304</w:t>
            </w:r>
          </w:p>
        </w:tc>
        <w:tc>
          <w:tcPr>
            <w:tcW w:w="1176" w:type="dxa"/>
            <w:tcBorders>
              <w:top w:val="single" w:color="000000" w:sz="4" w:space="0"/>
              <w:left w:val="single" w:color="000000" w:sz="4" w:space="0"/>
              <w:bottom w:val="single" w:color="000000" w:sz="4" w:space="0"/>
              <w:right w:val="single" w:color="000000" w:sz="4" w:space="0"/>
            </w:tcBorders>
            <w:noWrap w:val="0"/>
            <w:vAlign w:val="bottom"/>
          </w:tcPr>
          <w:p>
            <w:pPr>
              <w:rPr>
                <w:rFonts w:ascii="Tahoma" w:hAnsi="Tahoma" w:eastAsia="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民族乡两项经费</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950000</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950000</w:t>
            </w:r>
          </w:p>
        </w:tc>
      </w:tr>
      <w:tr>
        <w:tblPrEx>
          <w:tblCellMar>
            <w:top w:w="0" w:type="dxa"/>
            <w:left w:w="108" w:type="dxa"/>
            <w:bottom w:w="0" w:type="dxa"/>
            <w:right w:w="108" w:type="dxa"/>
          </w:tblCellMar>
        </w:tblPrEx>
        <w:trPr>
          <w:trHeight w:val="288" w:hRule="atLeast"/>
        </w:trPr>
        <w:tc>
          <w:tcPr>
            <w:tcW w:w="1081"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2012304</w:t>
            </w:r>
          </w:p>
        </w:tc>
        <w:tc>
          <w:tcPr>
            <w:tcW w:w="1176" w:type="dxa"/>
            <w:tcBorders>
              <w:top w:val="single" w:color="000000" w:sz="4" w:space="0"/>
              <w:left w:val="single" w:color="000000" w:sz="4" w:space="0"/>
              <w:bottom w:val="single" w:color="000000" w:sz="4" w:space="0"/>
              <w:right w:val="single" w:color="000000" w:sz="4" w:space="0"/>
            </w:tcBorders>
            <w:noWrap w:val="0"/>
            <w:vAlign w:val="bottom"/>
          </w:tcPr>
          <w:p>
            <w:pPr>
              <w:rPr>
                <w:rFonts w:ascii="Tahoma" w:hAnsi="Tahoma" w:eastAsia="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省级专项经费</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2</w:t>
            </w:r>
            <w:r>
              <w:rPr>
                <w:rFonts w:hint="eastAsia" w:ascii="Tahoma" w:hAnsi="Tahoma" w:cs="Tahoma"/>
                <w:color w:val="000000"/>
                <w:kern w:val="0"/>
                <w:sz w:val="22"/>
                <w:szCs w:val="22"/>
                <w:lang w:bidi="ar"/>
              </w:rPr>
              <w:t>3</w:t>
            </w:r>
            <w:r>
              <w:rPr>
                <w:rFonts w:ascii="Tahoma" w:hAnsi="Tahoma" w:eastAsia="Tahoma" w:cs="Tahoma"/>
                <w:color w:val="000000"/>
                <w:kern w:val="0"/>
                <w:sz w:val="22"/>
                <w:szCs w:val="22"/>
                <w:lang w:bidi="ar"/>
              </w:rPr>
              <w:t>0000</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2</w:t>
            </w:r>
            <w:r>
              <w:rPr>
                <w:rFonts w:hint="eastAsia" w:ascii="Tahoma" w:hAnsi="Tahoma" w:cs="Tahoma"/>
                <w:color w:val="000000"/>
                <w:kern w:val="0"/>
                <w:sz w:val="22"/>
                <w:szCs w:val="22"/>
                <w:lang w:bidi="ar"/>
              </w:rPr>
              <w:t>3</w:t>
            </w:r>
            <w:r>
              <w:rPr>
                <w:rFonts w:ascii="Tahoma" w:hAnsi="Tahoma" w:eastAsia="Tahoma" w:cs="Tahoma"/>
                <w:color w:val="000000"/>
                <w:kern w:val="0"/>
                <w:sz w:val="22"/>
                <w:szCs w:val="22"/>
                <w:lang w:bidi="ar"/>
              </w:rPr>
              <w:t>0000</w:t>
            </w:r>
          </w:p>
        </w:tc>
      </w:tr>
      <w:tr>
        <w:tblPrEx>
          <w:tblCellMar>
            <w:top w:w="0" w:type="dxa"/>
            <w:left w:w="108" w:type="dxa"/>
            <w:bottom w:w="0" w:type="dxa"/>
            <w:right w:w="108" w:type="dxa"/>
          </w:tblCellMar>
        </w:tblPrEx>
        <w:trPr>
          <w:trHeight w:val="288" w:hRule="atLeast"/>
        </w:trPr>
        <w:tc>
          <w:tcPr>
            <w:tcW w:w="1081"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Tahoma" w:hAnsi="Tahoma" w:cs="Tahoma"/>
                <w:color w:val="000000"/>
                <w:kern w:val="0"/>
                <w:sz w:val="22"/>
                <w:szCs w:val="22"/>
                <w:lang w:bidi="ar"/>
              </w:rPr>
            </w:pPr>
            <w:r>
              <w:rPr>
                <w:rFonts w:hint="eastAsia" w:ascii="Tahoma" w:hAnsi="Tahoma" w:cs="Tahoma"/>
                <w:color w:val="000000"/>
                <w:kern w:val="0"/>
                <w:sz w:val="22"/>
                <w:szCs w:val="22"/>
                <w:lang w:bidi="ar"/>
              </w:rPr>
              <w:t>2013404</w:t>
            </w:r>
          </w:p>
        </w:tc>
        <w:tc>
          <w:tcPr>
            <w:tcW w:w="1176" w:type="dxa"/>
            <w:tcBorders>
              <w:top w:val="single" w:color="000000" w:sz="4" w:space="0"/>
              <w:left w:val="single" w:color="000000" w:sz="4" w:space="0"/>
              <w:bottom w:val="single" w:color="000000" w:sz="4" w:space="0"/>
              <w:right w:val="single" w:color="000000" w:sz="4" w:space="0"/>
            </w:tcBorders>
            <w:noWrap w:val="0"/>
            <w:vAlign w:val="bottom"/>
          </w:tcPr>
          <w:p>
            <w:pPr>
              <w:rPr>
                <w:rFonts w:ascii="Tahoma" w:hAnsi="Tahoma" w:eastAsia="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textAlignment w:val="bottom"/>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省级宗教人士困难补助经费</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Tahoma" w:hAnsi="Tahoma" w:cs="Tahoma"/>
                <w:color w:val="000000"/>
                <w:kern w:val="0"/>
                <w:sz w:val="22"/>
                <w:szCs w:val="22"/>
                <w:lang w:bidi="ar"/>
              </w:rPr>
            </w:pPr>
            <w:r>
              <w:rPr>
                <w:rFonts w:hint="eastAsia" w:ascii="Tahoma" w:hAnsi="Tahoma" w:cs="Tahoma"/>
                <w:color w:val="000000"/>
                <w:kern w:val="0"/>
                <w:sz w:val="22"/>
                <w:szCs w:val="22"/>
                <w:lang w:bidi="ar"/>
              </w:rPr>
              <w:t>27000</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Tahoma" w:hAnsi="Tahoma" w:cs="Tahoma"/>
                <w:color w:val="000000"/>
                <w:kern w:val="0"/>
                <w:sz w:val="22"/>
                <w:szCs w:val="22"/>
                <w:lang w:bidi="ar"/>
              </w:rPr>
            </w:pPr>
            <w:r>
              <w:rPr>
                <w:rFonts w:hint="eastAsia" w:ascii="Tahoma" w:hAnsi="Tahoma" w:cs="Tahoma"/>
                <w:color w:val="000000"/>
                <w:kern w:val="0"/>
                <w:sz w:val="22"/>
                <w:szCs w:val="22"/>
                <w:lang w:bidi="ar"/>
              </w:rPr>
              <w:t>27000</w:t>
            </w:r>
          </w:p>
        </w:tc>
      </w:tr>
      <w:tr>
        <w:tblPrEx>
          <w:tblCellMar>
            <w:top w:w="0" w:type="dxa"/>
            <w:left w:w="108" w:type="dxa"/>
            <w:bottom w:w="0" w:type="dxa"/>
            <w:right w:w="108" w:type="dxa"/>
          </w:tblCellMar>
        </w:tblPrEx>
        <w:trPr>
          <w:trHeight w:val="288" w:hRule="atLeast"/>
        </w:trPr>
        <w:tc>
          <w:tcPr>
            <w:tcW w:w="1081"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Tahoma" w:hAnsi="Tahoma" w:cs="Tahoma"/>
                <w:color w:val="000000"/>
                <w:kern w:val="0"/>
                <w:sz w:val="22"/>
                <w:szCs w:val="22"/>
                <w:lang w:bidi="ar"/>
              </w:rPr>
            </w:pPr>
            <w:r>
              <w:rPr>
                <w:rFonts w:hint="eastAsia" w:ascii="Tahoma" w:hAnsi="Tahoma" w:cs="Tahoma"/>
                <w:color w:val="000000"/>
                <w:kern w:val="0"/>
                <w:sz w:val="22"/>
                <w:szCs w:val="22"/>
                <w:lang w:bidi="ar"/>
              </w:rPr>
              <w:t>2109999</w:t>
            </w:r>
          </w:p>
        </w:tc>
        <w:tc>
          <w:tcPr>
            <w:tcW w:w="1176" w:type="dxa"/>
            <w:tcBorders>
              <w:top w:val="single" w:color="000000" w:sz="4" w:space="0"/>
              <w:left w:val="single" w:color="000000" w:sz="4" w:space="0"/>
              <w:bottom w:val="single" w:color="000000" w:sz="4" w:space="0"/>
              <w:right w:val="single" w:color="000000" w:sz="4" w:space="0"/>
            </w:tcBorders>
            <w:noWrap w:val="0"/>
            <w:vAlign w:val="bottom"/>
          </w:tcPr>
          <w:p>
            <w:pPr>
              <w:rPr>
                <w:rFonts w:hint="eastAsia" w:ascii="Tahoma" w:hAnsi="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textAlignment w:val="bottom"/>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创建全国民族团结进步示范市工作经费</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Tahoma" w:hAnsi="Tahoma" w:cs="Tahoma"/>
                <w:color w:val="000000"/>
                <w:kern w:val="0"/>
                <w:sz w:val="22"/>
                <w:szCs w:val="22"/>
                <w:lang w:bidi="ar"/>
              </w:rPr>
            </w:pPr>
            <w:r>
              <w:rPr>
                <w:rFonts w:hint="eastAsia" w:ascii="Tahoma" w:hAnsi="Tahoma" w:cs="Tahoma"/>
                <w:color w:val="000000"/>
                <w:kern w:val="0"/>
                <w:sz w:val="22"/>
                <w:szCs w:val="22"/>
                <w:lang w:bidi="ar"/>
              </w:rPr>
              <w:t>499865.98</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Tahoma" w:hAnsi="Tahoma" w:cs="Tahoma"/>
                <w:color w:val="000000"/>
                <w:kern w:val="0"/>
                <w:sz w:val="22"/>
                <w:szCs w:val="22"/>
                <w:lang w:bidi="ar"/>
              </w:rPr>
            </w:pPr>
            <w:r>
              <w:rPr>
                <w:rFonts w:hint="eastAsia" w:ascii="Tahoma" w:hAnsi="Tahoma" w:cs="Tahoma"/>
                <w:color w:val="000000"/>
                <w:kern w:val="0"/>
                <w:sz w:val="22"/>
                <w:szCs w:val="22"/>
                <w:lang w:bidi="ar"/>
              </w:rPr>
              <w:t>499865.98</w:t>
            </w:r>
          </w:p>
        </w:tc>
      </w:tr>
      <w:tr>
        <w:tblPrEx>
          <w:tblCellMar>
            <w:top w:w="0" w:type="dxa"/>
            <w:left w:w="108" w:type="dxa"/>
            <w:bottom w:w="0" w:type="dxa"/>
            <w:right w:w="108" w:type="dxa"/>
          </w:tblCellMar>
        </w:tblPrEx>
        <w:trPr>
          <w:trHeight w:val="288" w:hRule="atLeast"/>
        </w:trPr>
        <w:tc>
          <w:tcPr>
            <w:tcW w:w="1081"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ascii="Tahoma" w:hAnsi="Tahoma" w:eastAsia="Tahoma" w:cs="Tahoma"/>
                <w:color w:val="000000"/>
                <w:kern w:val="0"/>
                <w:sz w:val="22"/>
                <w:szCs w:val="22"/>
                <w:lang w:bidi="ar"/>
              </w:rPr>
            </w:pPr>
          </w:p>
        </w:tc>
        <w:tc>
          <w:tcPr>
            <w:tcW w:w="1176" w:type="dxa"/>
            <w:tcBorders>
              <w:top w:val="single" w:color="000000" w:sz="4" w:space="0"/>
              <w:left w:val="single" w:color="000000" w:sz="4" w:space="0"/>
              <w:bottom w:val="single" w:color="000000" w:sz="4" w:space="0"/>
              <w:right w:val="single" w:color="000000" w:sz="4" w:space="0"/>
            </w:tcBorders>
            <w:noWrap w:val="0"/>
            <w:vAlign w:val="bottom"/>
          </w:tcPr>
          <w:p>
            <w:pPr>
              <w:rPr>
                <w:rFonts w:hint="eastAsia" w:ascii="Tahoma" w:hAnsi="Tahoma" w:cs="Tahoma"/>
                <w:color w:val="000000"/>
                <w:sz w:val="22"/>
                <w:szCs w:val="22"/>
              </w:rPr>
            </w:pPr>
            <w:r>
              <w:rPr>
                <w:rFonts w:hint="eastAsia" w:ascii="Tahoma" w:hAnsi="Tahoma" w:cs="Tahoma"/>
                <w:color w:val="000000"/>
                <w:sz w:val="22"/>
                <w:szCs w:val="22"/>
              </w:rPr>
              <w:t>合计</w:t>
            </w:r>
          </w:p>
        </w:tc>
        <w:tc>
          <w:tcPr>
            <w:tcW w:w="2148"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textAlignment w:val="bottom"/>
              <w:rPr>
                <w:rFonts w:hint="eastAsia" w:ascii="宋体" w:hAnsi="宋体" w:cs="宋体"/>
                <w:color w:val="000000"/>
                <w:kern w:val="0"/>
                <w:sz w:val="22"/>
                <w:szCs w:val="22"/>
                <w:lang w:bidi="ar"/>
              </w:rPr>
            </w:pPr>
          </w:p>
        </w:tc>
        <w:tc>
          <w:tcPr>
            <w:tcW w:w="1932"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Tahoma" w:hAnsi="Tahoma" w:cs="Tahoma"/>
                <w:color w:val="000000"/>
                <w:kern w:val="0"/>
                <w:sz w:val="22"/>
                <w:szCs w:val="22"/>
                <w:lang w:bidi="ar"/>
              </w:rPr>
            </w:pPr>
            <w:r>
              <w:rPr>
                <w:rFonts w:hint="eastAsia" w:ascii="Tahoma" w:hAnsi="Tahoma" w:cs="Tahoma"/>
                <w:color w:val="000000"/>
                <w:kern w:val="0"/>
                <w:sz w:val="22"/>
                <w:szCs w:val="22"/>
                <w:lang w:bidi="ar"/>
              </w:rPr>
              <w:t>5205486.09</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pPr>
              <w:widowControl/>
              <w:jc w:val="right"/>
              <w:textAlignment w:val="bottom"/>
              <w:rPr>
                <w:rFonts w:hint="eastAsia" w:ascii="Tahoma" w:hAnsi="Tahoma" w:cs="Tahoma"/>
                <w:color w:val="000000"/>
                <w:kern w:val="0"/>
                <w:sz w:val="22"/>
                <w:szCs w:val="22"/>
                <w:lang w:bidi="ar"/>
              </w:rPr>
            </w:pPr>
            <w:r>
              <w:rPr>
                <w:rFonts w:hint="eastAsia" w:ascii="Tahoma" w:hAnsi="Tahoma" w:cs="Tahoma"/>
                <w:color w:val="000000"/>
                <w:kern w:val="0"/>
                <w:sz w:val="22"/>
                <w:szCs w:val="22"/>
                <w:lang w:bidi="ar"/>
              </w:rPr>
              <w:t>5205486.09</w:t>
            </w:r>
          </w:p>
        </w:tc>
      </w:tr>
    </w:tbl>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40" w:leftChars="0" w:right="0" w:rightChars="0"/>
        <w:textAlignment w:val="auto"/>
        <w:rPr>
          <w:rFonts w:hint="default" w:ascii="仿宋_GB2312" w:eastAsia="仿宋_GB2312" w:cs="仿宋_GB2312"/>
          <w:i w:val="0"/>
          <w:iCs w:val="0"/>
          <w:caps w:val="0"/>
          <w:color w:val="000000"/>
          <w:spacing w:val="0"/>
          <w:sz w:val="32"/>
          <w:szCs w:val="32"/>
          <w:shd w:val="clear" w:fill="FFFFFF"/>
        </w:rPr>
      </w:pPr>
    </w:p>
    <w:p>
      <w:pPr>
        <w:pStyle w:val="7"/>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firstLine="0" w:firstLineChars="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"三公"经费使用和管理情况</w:t>
      </w:r>
    </w:p>
    <w:p>
      <w:pPr>
        <w:snapToGrid w:val="0"/>
        <w:spacing w:line="520" w:lineRule="exact"/>
        <w:ind w:firstLine="640" w:firstLineChars="200"/>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rPr>
        <w:t>本年度公务接待费3.5449万元，接待批次51次，接待人次296人次。公务用车运行维护费5.038万元，合计8.583万元，与上年度对比，公务接待费增长0.095万元，减少2.6%，与去年基本持平。公务用车运行维护费增长0.008万元，与去年基本持平，原因是本年度工作任务重，公务用车使用较去年多。本年度新增公务用车1台，账面公务用车2台，实际使用只有1台，另一台已上交机关事务局公车平台，手续还在办理过程中。无因公出国出境组团及人数。</w:t>
      </w:r>
    </w:p>
    <w:p>
      <w:pPr>
        <w:snapToGrid w:val="0"/>
        <w:spacing w:line="520" w:lineRule="exact"/>
        <w:ind w:firstLine="640" w:firstLineChars="200"/>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rPr>
        <w:t>公务接待费3.6</w:t>
      </w:r>
      <w:r>
        <w:rPr>
          <w:rFonts w:hint="eastAsia" w:ascii="仿宋_GB2312" w:hAnsi="仿宋" w:eastAsia="仿宋_GB2312" w:cs="仿宋"/>
          <w:color w:val="000000"/>
          <w:sz w:val="32"/>
          <w:szCs w:val="32"/>
          <w:lang w:val="en-US" w:eastAsia="zh-CN"/>
        </w:rPr>
        <w:t>4</w:t>
      </w:r>
      <w:r>
        <w:rPr>
          <w:rFonts w:hint="eastAsia" w:ascii="仿宋_GB2312" w:hAnsi="仿宋" w:eastAsia="仿宋_GB2312" w:cs="仿宋"/>
          <w:color w:val="000000"/>
          <w:sz w:val="32"/>
          <w:szCs w:val="32"/>
        </w:rPr>
        <w:t>万元与预算数比较，占预算的57%。公务用车运行费5.03万元，占预算的99.8%。</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 w:hAnsi="仿宋" w:eastAsia="仿宋"/>
          <w:sz w:val="32"/>
          <w:szCs w:val="32"/>
          <w:lang w:val="en-US" w:eastAsia="zh-CN"/>
        </w:rPr>
        <w:t>2023</w:t>
      </w:r>
      <w:r>
        <w:rPr>
          <w:rFonts w:hint="eastAsia" w:ascii="仿宋_GB2312" w:hAnsi="仿宋_GB2312" w:eastAsia="仿宋_GB2312" w:cs="仿宋_GB2312"/>
          <w:sz w:val="32"/>
          <w:szCs w:val="32"/>
        </w:rPr>
        <w:t>的“三公”经费中</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接待费</w:t>
      </w:r>
      <w:r>
        <w:rPr>
          <w:rFonts w:hint="eastAsia" w:ascii="仿宋_GB2312" w:hAnsi="仿宋_GB2312" w:eastAsia="仿宋_GB2312" w:cs="仿宋_GB2312"/>
          <w:sz w:val="32"/>
          <w:szCs w:val="32"/>
          <w:lang w:eastAsia="zh-CN"/>
        </w:rPr>
        <w:t>预算</w:t>
      </w:r>
      <w:r>
        <w:rPr>
          <w:rFonts w:hint="eastAsia" w:ascii="仿宋_GB2312" w:hAnsi="仿宋_GB2312" w:eastAsia="仿宋_GB2312" w:cs="仿宋_GB2312"/>
          <w:sz w:val="32"/>
          <w:szCs w:val="32"/>
        </w:rPr>
        <w:t>控制数为</w:t>
      </w:r>
      <w:r>
        <w:rPr>
          <w:rFonts w:hint="eastAsia" w:ascii="仿宋_GB2312" w:hAnsi="仿宋_GB2312" w:eastAsia="仿宋_GB2312" w:cs="仿宋_GB2312"/>
          <w:sz w:val="32"/>
          <w:szCs w:val="32"/>
          <w:lang w:val="en-US" w:eastAsia="zh-CN"/>
        </w:rPr>
        <w:t>6.3万元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年我局接待费实际开支</w:t>
      </w:r>
      <w:r>
        <w:rPr>
          <w:rFonts w:hint="eastAsia" w:ascii="仿宋_GB2312" w:hAnsi="仿宋_GB2312" w:eastAsia="仿宋_GB2312" w:cs="仿宋_GB2312"/>
          <w:sz w:val="32"/>
          <w:szCs w:val="32"/>
          <w:lang w:val="en-US" w:eastAsia="zh-CN"/>
        </w:rPr>
        <w:t>3.64</w:t>
      </w:r>
      <w:r>
        <w:rPr>
          <w:rFonts w:hint="eastAsia" w:ascii="仿宋_GB2312" w:hAnsi="仿宋_GB2312" w:eastAsia="仿宋_GB2312" w:cs="仿宋_GB2312"/>
          <w:sz w:val="32"/>
          <w:szCs w:val="32"/>
        </w:rPr>
        <w:t>万元。在接待费管理中，我局严格按规矩办事，必须要求六单合一（</w:t>
      </w:r>
      <w:r>
        <w:rPr>
          <w:rFonts w:hint="eastAsia" w:ascii="仿宋_GB2312" w:hAnsi="仿宋_GB2312" w:eastAsia="仿宋_GB2312" w:cs="仿宋_GB2312"/>
          <w:sz w:val="32"/>
          <w:szCs w:val="32"/>
          <w:lang w:eastAsia="zh-CN"/>
        </w:rPr>
        <w:t>接待公函</w:t>
      </w:r>
      <w:r>
        <w:rPr>
          <w:rFonts w:hint="eastAsia" w:ascii="仿宋_GB2312" w:hAnsi="仿宋_GB2312" w:eastAsia="仿宋_GB2312" w:cs="仿宋_GB2312"/>
          <w:sz w:val="32"/>
          <w:szCs w:val="32"/>
        </w:rPr>
        <w:t>接待审批单，接待清单，发票，电脑小票，菜单）来人接待必须出具接待函，主要领导在接待审批单上签字同意后，才能用餐，严格控制陪餐人员及用餐标准。</w:t>
      </w:r>
      <w:r>
        <w:rPr>
          <w:rFonts w:hint="eastAsia" w:ascii="仿宋" w:hAnsi="仿宋" w:eastAsia="仿宋"/>
          <w:sz w:val="32"/>
          <w:szCs w:val="32"/>
          <w:lang w:val="en-US" w:eastAsia="zh-CN"/>
        </w:rPr>
        <w:t>2023</w:t>
      </w:r>
      <w:r>
        <w:rPr>
          <w:rFonts w:hint="eastAsia" w:ascii="仿宋_GB2312" w:hAnsi="仿宋_GB2312" w:eastAsia="仿宋_GB2312" w:cs="仿宋_GB2312"/>
          <w:sz w:val="32"/>
          <w:szCs w:val="32"/>
        </w:rPr>
        <w:t>的“三公”经费</w:t>
      </w:r>
      <w:r>
        <w:rPr>
          <w:rFonts w:hint="eastAsia" w:ascii="仿宋_GB2312" w:hAnsi="仿宋_GB2312" w:eastAsia="仿宋_GB2312" w:cs="仿宋_GB2312"/>
          <w:sz w:val="32"/>
          <w:szCs w:val="32"/>
          <w:lang w:eastAsia="zh-CN"/>
        </w:rPr>
        <w:t>中的</w:t>
      </w:r>
      <w:r>
        <w:rPr>
          <w:rFonts w:hint="eastAsia" w:ascii="仿宋_GB2312" w:hAnsi="仿宋_GB2312" w:eastAsia="仿宋_GB2312" w:cs="仿宋_GB2312"/>
          <w:sz w:val="32"/>
          <w:szCs w:val="32"/>
        </w:rPr>
        <w:t>车辆运行费</w:t>
      </w:r>
      <w:r>
        <w:rPr>
          <w:rFonts w:hint="eastAsia" w:ascii="仿宋_GB2312" w:hAnsi="仿宋_GB2312" w:eastAsia="仿宋_GB2312" w:cs="仿宋_GB2312"/>
          <w:sz w:val="32"/>
          <w:szCs w:val="32"/>
          <w:lang w:eastAsia="zh-CN"/>
        </w:rPr>
        <w:t>的预算</w:t>
      </w:r>
      <w:r>
        <w:rPr>
          <w:rFonts w:hint="eastAsia" w:ascii="仿宋_GB2312" w:hAnsi="仿宋_GB2312" w:eastAsia="仿宋_GB2312" w:cs="仿宋_GB2312"/>
          <w:sz w:val="32"/>
          <w:szCs w:val="32"/>
        </w:rPr>
        <w:t>控制数为</w:t>
      </w:r>
      <w:r>
        <w:rPr>
          <w:rFonts w:hint="eastAsia" w:ascii="仿宋_GB2312" w:hAnsi="仿宋_GB2312" w:eastAsia="仿宋_GB2312" w:cs="仿宋_GB2312"/>
          <w:sz w:val="32"/>
          <w:szCs w:val="32"/>
          <w:lang w:val="en-US" w:eastAsia="zh-CN"/>
        </w:rPr>
        <w:t>5.04</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年实际开支</w:t>
      </w:r>
      <w:r>
        <w:rPr>
          <w:rFonts w:hint="eastAsia" w:ascii="仿宋_GB2312" w:hAnsi="仿宋_GB2312" w:eastAsia="仿宋_GB2312" w:cs="仿宋_GB2312"/>
          <w:sz w:val="32"/>
          <w:szCs w:val="32"/>
          <w:lang w:val="en-US" w:eastAsia="zh-CN"/>
        </w:rPr>
        <w:t>5.03</w:t>
      </w:r>
      <w:r>
        <w:rPr>
          <w:rFonts w:hint="eastAsia" w:ascii="仿宋_GB2312" w:hAnsi="仿宋_GB2312" w:eastAsia="仿宋_GB2312" w:cs="仿宋_GB2312"/>
          <w:sz w:val="32"/>
          <w:szCs w:val="32"/>
        </w:rPr>
        <w:t>万元。对车辆的使用和管理也有严格的制度，出差用车需填写公务用车使用派车单，</w:t>
      </w:r>
      <w:r>
        <w:rPr>
          <w:rFonts w:hint="eastAsia" w:ascii="仿宋_GB2312" w:hAnsi="仿宋_GB2312" w:eastAsia="仿宋_GB2312" w:cs="仿宋_GB2312"/>
          <w:sz w:val="32"/>
          <w:szCs w:val="32"/>
          <w:lang w:eastAsia="zh-CN"/>
        </w:rPr>
        <w:t>详细填写出差原因，出差人员，出差时间，</w:t>
      </w:r>
      <w:r>
        <w:rPr>
          <w:rFonts w:hint="eastAsia" w:ascii="仿宋_GB2312" w:hAnsi="仿宋_GB2312" w:eastAsia="仿宋_GB2312" w:cs="仿宋_GB2312"/>
          <w:sz w:val="32"/>
          <w:szCs w:val="32"/>
        </w:rPr>
        <w:t>经主要领导签字同意，视事情的轻重缓急安排用车。</w:t>
      </w:r>
    </w:p>
    <w:p>
      <w:pPr>
        <w:pStyle w:val="2"/>
      </w:pP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default" w:ascii="楷体_GB2312" w:eastAsia="楷体_GB2312" w:cs="楷体_GB2312"/>
          <w:i w:val="0"/>
          <w:iCs w:val="0"/>
          <w:caps w:val="0"/>
          <w:color w:val="000000"/>
          <w:spacing w:val="0"/>
          <w:sz w:val="32"/>
          <w:szCs w:val="32"/>
          <w:shd w:val="clear"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三、政府性基金预算支出情况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仿宋_GB2312" w:hAnsi="仿宋_GB2312" w:eastAsia="仿宋_GB2312" w:cs="仿宋_GB2312"/>
          <w:kern w:val="2"/>
          <w:sz w:val="32"/>
          <w:szCs w:val="32"/>
          <w:u w:val="none"/>
          <w:lang w:val="en-US" w:eastAsia="zh-CN" w:bidi="ar-SA"/>
        </w:rPr>
      </w:pPr>
      <w:r>
        <w:rPr>
          <w:rFonts w:hint="eastAsia" w:ascii="仿宋_GB2312" w:hAnsi="仿宋_GB2312" w:eastAsia="仿宋_GB2312" w:cs="仿宋_GB2312"/>
          <w:kern w:val="2"/>
          <w:sz w:val="32"/>
          <w:szCs w:val="32"/>
          <w:u w:val="none"/>
          <w:lang w:val="en-US" w:eastAsia="zh-CN" w:bidi="ar-SA"/>
        </w:rPr>
        <w:t>本单位本年度无政府性基金预算收入，支出情况。</w:t>
      </w:r>
    </w:p>
    <w:p>
      <w:pPr>
        <w:pStyle w:val="7"/>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国有资本经营预算支出情况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fill="FFFFFF"/>
        </w:rPr>
      </w:pPr>
      <w:r>
        <w:rPr>
          <w:rFonts w:hint="eastAsia" w:ascii="仿宋_GB2312" w:hAnsi="仿宋_GB2312" w:eastAsia="仿宋_GB2312" w:cs="仿宋_GB2312"/>
          <w:kern w:val="2"/>
          <w:sz w:val="32"/>
          <w:szCs w:val="32"/>
          <w:u w:val="none"/>
          <w:lang w:val="en-US" w:eastAsia="zh-CN" w:bidi="ar-SA"/>
        </w:rPr>
        <w:t>本单位本年度无国有资本预算收入，支出情况。</w:t>
      </w:r>
    </w:p>
    <w:p>
      <w:pPr>
        <w:pStyle w:val="7"/>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firstLine="0" w:firstLineChars="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社会保险基金预算支出情况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fill="FFFFFF"/>
        </w:rPr>
      </w:pPr>
      <w:r>
        <w:rPr>
          <w:rFonts w:hint="eastAsia" w:ascii="仿宋_GB2312" w:hAnsi="仿宋_GB2312" w:eastAsia="仿宋_GB2312" w:cs="仿宋_GB2312"/>
          <w:kern w:val="2"/>
          <w:sz w:val="32"/>
          <w:szCs w:val="32"/>
          <w:u w:val="none"/>
          <w:lang w:val="en-US" w:eastAsia="zh-CN" w:bidi="ar-SA"/>
        </w:rPr>
        <w:t>本单位本年度无社会保险基金预算收入，支出情况。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六、部门整体支出绩效情况</w:t>
      </w:r>
    </w:p>
    <w:p>
      <w:pPr>
        <w:keepNext w:val="0"/>
        <w:keepLines w:val="0"/>
        <w:pageBreakBefore w:val="0"/>
        <w:widowControl/>
        <w:numPr>
          <w:ilvl w:val="0"/>
          <w:numId w:val="0"/>
        </w:numPr>
        <w:kinsoku/>
        <w:wordWrap/>
        <w:overflowPunct/>
        <w:topLinePunct w:val="0"/>
        <w:autoSpaceDE/>
        <w:autoSpaceDN/>
        <w:bidi w:val="0"/>
        <w:spacing w:beforeAutospacing="0" w:after="0" w:afterAutospacing="0" w:line="580" w:lineRule="exact"/>
        <w:ind w:firstLine="640" w:firstLineChars="200"/>
        <w:jc w:val="both"/>
        <w:textAlignment w:val="auto"/>
        <w:rPr>
          <w:rFonts w:hint="default" w:ascii="楷体_GB2312" w:eastAsia="楷体_GB2312" w:cs="楷体_GB2312"/>
          <w:i w:val="0"/>
          <w:iCs w:val="0"/>
          <w:caps w:val="0"/>
          <w:color w:val="000000"/>
          <w:spacing w:val="0"/>
          <w:sz w:val="32"/>
          <w:szCs w:val="32"/>
        </w:rPr>
      </w:pPr>
      <w:r>
        <w:rPr>
          <w:rFonts w:hint="eastAsia" w:ascii="仿宋_GB2312" w:hAnsi="仿宋_GB2312" w:eastAsia="仿宋_GB2312" w:cs="仿宋_GB2312"/>
          <w:sz w:val="32"/>
          <w:szCs w:val="32"/>
        </w:rPr>
        <w:t>从市民宗局部门履职及履职效益情况来看，总体的效果是好的。协助做好了少数民族事业“十</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五”规划编制工作。加强了民族发展专项资金和管理使用，大力保护与发展支持少数民族特色村寨。进一步抓好了武陵山片区对口联系工作。积极传承和弘扬民族优秀文化。着力推动民族教育事业发展，全力维护民宗领域和谐稳定。从有效性来看，各专项工作的分工负责部门均能按制度和各自的目标抓好落实，注重了专项资金的使用效果；从经济性来看，各部门能够按预算来抓好成本控制，强化勤俭办事的意识，注重节约开支，年度开支都控制在市财政规定的</w:t>
      </w:r>
      <w:r>
        <w:rPr>
          <w:rFonts w:hint="eastAsia" w:ascii="仿宋_GB2312" w:hAnsi="仿宋_GB2312" w:eastAsia="仿宋_GB2312" w:cs="仿宋_GB2312"/>
          <w:sz w:val="32"/>
          <w:szCs w:val="32"/>
          <w:lang w:eastAsia="zh-CN"/>
        </w:rPr>
        <w:t>预算</w:t>
      </w:r>
      <w:r>
        <w:rPr>
          <w:rFonts w:hint="eastAsia" w:ascii="仿宋_GB2312" w:hAnsi="仿宋_GB2312" w:eastAsia="仿宋_GB2312" w:cs="仿宋_GB2312"/>
          <w:sz w:val="32"/>
          <w:szCs w:val="32"/>
        </w:rPr>
        <w:t>范围内；从可持续性来看，后续的相关政策、相关的配套资金，必要的人员机构也要继续保持，管理制度要做到与时俱进，相关内容要及时补充完善。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七、存在的问题及原因分析</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0" w:afterAutospacing="0" w:line="580" w:lineRule="exact"/>
        <w:ind w:firstLine="640" w:firstLineChars="200"/>
        <w:jc w:val="both"/>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kern w:val="0"/>
          <w:sz w:val="32"/>
          <w:szCs w:val="32"/>
        </w:rPr>
        <w:t>存在的问题：我市的民族工作经费是根据中共怀化市委、怀化市人民政府《关于进一步加强民族工作加快少数民族和民族地区经济社会发展的意见》（怀发</w:t>
      </w:r>
      <w:r>
        <w:rPr>
          <w:rFonts w:ascii="仿宋_GB2312" w:hAnsi="仿宋_GB2312" w:eastAsia="仿宋_GB2312" w:cs="仿宋_GB2312"/>
          <w:kern w:val="0"/>
          <w:sz w:val="32"/>
          <w:szCs w:val="32"/>
        </w:rPr>
        <w:t>[2006]11</w:t>
      </w:r>
      <w:r>
        <w:rPr>
          <w:rFonts w:hint="eastAsia" w:ascii="仿宋_GB2312" w:hAnsi="仿宋_GB2312" w:eastAsia="仿宋_GB2312" w:cs="仿宋_GB2312"/>
          <w:kern w:val="0"/>
          <w:sz w:val="32"/>
          <w:szCs w:val="32"/>
        </w:rPr>
        <w:t>号）文件精神，“按照少数民族人口人数不低于每人一元的标准安排民族工作经费，并形成正常增长机制”的要求，由市财政预算安排。问题是在遇到重大民族活动时，由于市</w:t>
      </w:r>
      <w:r>
        <w:rPr>
          <w:rFonts w:hint="eastAsia" w:ascii="仿宋_GB2312" w:hAnsi="仿宋_GB2312" w:eastAsia="仿宋_GB2312" w:cs="仿宋_GB2312"/>
          <w:kern w:val="0"/>
          <w:sz w:val="32"/>
          <w:szCs w:val="32"/>
          <w:lang w:eastAsia="zh-CN"/>
        </w:rPr>
        <w:t>级</w:t>
      </w:r>
      <w:r>
        <w:rPr>
          <w:rFonts w:hint="eastAsia" w:ascii="仿宋_GB2312" w:hAnsi="仿宋_GB2312" w:eastAsia="仿宋_GB2312" w:cs="仿宋_GB2312"/>
          <w:kern w:val="0"/>
          <w:sz w:val="32"/>
          <w:szCs w:val="32"/>
        </w:rPr>
        <w:t>财政经费紧张，会出现从这笔专项经费中调剂部分资金到</w:t>
      </w:r>
      <w:r>
        <w:rPr>
          <w:rFonts w:hint="eastAsia" w:ascii="仿宋_GB2312" w:hAnsi="仿宋_GB2312" w:eastAsia="仿宋_GB2312" w:cs="仿宋_GB2312"/>
          <w:kern w:val="0"/>
          <w:sz w:val="32"/>
          <w:szCs w:val="32"/>
          <w:lang w:eastAsia="zh-CN"/>
        </w:rPr>
        <w:t>重大民族</w:t>
      </w:r>
      <w:r>
        <w:rPr>
          <w:rFonts w:hint="eastAsia" w:ascii="仿宋_GB2312" w:hAnsi="仿宋_GB2312" w:eastAsia="仿宋_GB2312" w:cs="仿宋_GB2312"/>
          <w:kern w:val="0"/>
          <w:sz w:val="32"/>
          <w:szCs w:val="32"/>
        </w:rPr>
        <w:t>活动中</w:t>
      </w:r>
      <w:r>
        <w:rPr>
          <w:rFonts w:hint="eastAsia" w:ascii="仿宋_GB2312" w:hAnsi="仿宋_GB2312" w:eastAsia="仿宋_GB2312" w:cs="仿宋_GB2312"/>
          <w:kern w:val="0"/>
          <w:sz w:val="32"/>
          <w:szCs w:val="32"/>
          <w:lang w:eastAsia="zh-CN"/>
        </w:rPr>
        <w:t>使用</w:t>
      </w:r>
      <w:r>
        <w:rPr>
          <w:rFonts w:hint="eastAsia" w:ascii="仿宋_GB2312" w:hAnsi="仿宋_GB2312" w:eastAsia="仿宋_GB2312" w:cs="仿宋_GB2312"/>
          <w:kern w:val="0"/>
          <w:sz w:val="32"/>
          <w:szCs w:val="32"/>
        </w:rPr>
        <w:t>，这样无形中减少了我们的民族工作经费，影响了部分民族工作的顺利完成。</w:t>
      </w:r>
      <w:r>
        <w:rPr>
          <w:rFonts w:hint="eastAsia" w:ascii="仿宋_GB2312" w:hAnsi="仿宋_GB2312" w:eastAsia="仿宋_GB2312" w:cs="仿宋_GB2312"/>
          <w:kern w:val="0"/>
          <w:sz w:val="32"/>
          <w:szCs w:val="32"/>
          <w:lang w:eastAsia="zh-CN"/>
        </w:rPr>
        <w:t>同时，由于少数民族工作专项经费的使用主要是依据省财政厅，省民宗委文件湘财行【</w:t>
      </w:r>
      <w:r>
        <w:rPr>
          <w:rFonts w:hint="eastAsia" w:ascii="仿宋_GB2312" w:hAnsi="仿宋_GB2312" w:eastAsia="仿宋_GB2312" w:cs="仿宋_GB2312"/>
          <w:kern w:val="0"/>
          <w:sz w:val="32"/>
          <w:szCs w:val="32"/>
          <w:lang w:val="en-US" w:eastAsia="zh-CN"/>
        </w:rPr>
        <w:t>2019】13号文件制定的《怀化市市级民族宗教专项资金管理办法》，在该项专项资金的具体使用过程中，使用范围比较笼统，从而导致该项资金的监督检查过程中，不同的检查者都有不同的解读和标准，从而导致有挤占少数民族工作专项经费的嫌疑。导致存在没有专款专用少数民族工作专项经覅的风险。</w:t>
      </w:r>
    </w:p>
    <w:p>
      <w:pPr>
        <w:pStyle w:val="7"/>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下一步改进措施</w:t>
      </w:r>
    </w:p>
    <w:p>
      <w:pPr>
        <w:keepNext w:val="0"/>
        <w:keepLines w:val="0"/>
        <w:pageBreakBefore w:val="0"/>
        <w:widowControl/>
        <w:numPr>
          <w:ilvl w:val="0"/>
          <w:numId w:val="0"/>
        </w:numPr>
        <w:kinsoku/>
        <w:wordWrap/>
        <w:overflowPunct/>
        <w:topLinePunct w:val="0"/>
        <w:autoSpaceDE/>
        <w:autoSpaceDN/>
        <w:bidi w:val="0"/>
        <w:spacing w:beforeAutospacing="0" w:after="0" w:afterAutospacing="0"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、重大民族活动应该单独安排资金，而不是占用民族工作经费；</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、少数民族工作经费应按增长机制进行增加。</w:t>
      </w:r>
      <w:r>
        <w:rPr>
          <w:rFonts w:hint="eastAsia" w:ascii="仿宋_GB2312" w:hAnsi="仿宋_GB2312" w:eastAsia="仿宋_GB2312" w:cs="仿宋_GB2312"/>
          <w:sz w:val="32"/>
          <w:szCs w:val="32"/>
          <w:lang w:val="en-US" w:eastAsia="zh-CN"/>
        </w:rPr>
        <w:t>3、进一步明确市级民族宗教专项资金的使用范围，进一步确保专款专用。</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eastAsia" w:ascii="黑体" w:hAnsi="黑体" w:eastAsia="黑体" w:cs="黑体"/>
          <w:i w:val="0"/>
          <w:iCs w:val="0"/>
          <w:caps w:val="0"/>
          <w:color w:val="000000"/>
          <w:spacing w:val="0"/>
          <w:sz w:val="32"/>
          <w:szCs w:val="32"/>
          <w:shd w:val="clear" w:fill="FFFFFF"/>
        </w:rPr>
      </w:pPr>
    </w:p>
    <w:p>
      <w:pPr>
        <w:pStyle w:val="7"/>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firstLine="0" w:firstLineChars="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其他需要说明的情况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textAlignment w:val="auto"/>
        <w:rPr>
          <w:rFonts w:hint="eastAsia" w:ascii="Times New Roman" w:hAnsi="Times New Roman" w:cs="Times New Roman" w:eastAsiaTheme="minorEastAsia"/>
          <w:i w:val="0"/>
          <w:iCs w:val="0"/>
          <w:caps w:val="0"/>
          <w:color w:val="000000"/>
          <w:spacing w:val="0"/>
          <w:sz w:val="24"/>
          <w:szCs w:val="24"/>
          <w:lang w:eastAsia="zh-CN"/>
        </w:rPr>
      </w:pPr>
      <w:r>
        <w:rPr>
          <w:rFonts w:hint="eastAsia" w:ascii="Times New Roman" w:hAnsi="Times New Roman" w:cs="Times New Roman"/>
          <w:i w:val="0"/>
          <w:iCs w:val="0"/>
          <w:caps w:val="0"/>
          <w:color w:val="000000"/>
          <w:spacing w:val="0"/>
          <w:sz w:val="24"/>
          <w:szCs w:val="24"/>
          <w:lang w:eastAsia="zh-CN"/>
        </w:rPr>
        <w:t>无。</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附件：</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1.</w:t>
      </w:r>
      <w:r>
        <w:rPr>
          <w:rFonts w:hint="default" w:ascii="仿宋_GB2312" w:eastAsia="仿宋_GB2312" w:cs="仿宋_GB2312"/>
          <w:i w:val="0"/>
          <w:iCs w:val="0"/>
          <w:caps w:val="0"/>
          <w:color w:val="000000"/>
          <w:spacing w:val="0"/>
          <w:sz w:val="32"/>
          <w:szCs w:val="32"/>
          <w:shd w:val="clear" w:fill="FFFFFF"/>
        </w:rPr>
        <w:t>部门整体支出绩效评价基础数据表</w:t>
      </w:r>
      <w:r>
        <w:rPr>
          <w:rFonts w:hint="eastAsia" w:ascii="仿宋_GB2312" w:eastAsia="仿宋_GB2312" w:cs="仿宋_GB2312"/>
          <w:i w:val="0"/>
          <w:iCs w:val="0"/>
          <w:caps w:val="0"/>
          <w:color w:val="000000"/>
          <w:spacing w:val="0"/>
          <w:sz w:val="32"/>
          <w:szCs w:val="32"/>
          <w:shd w:val="clear" w:fill="FFFFFF"/>
          <w:lang w:val="en-US" w:eastAsia="zh-CN"/>
        </w:rPr>
        <w:t xml:space="preserve">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2.</w:t>
      </w:r>
      <w:r>
        <w:rPr>
          <w:rFonts w:hint="default" w:ascii="仿宋_GB2312" w:eastAsia="仿宋_GB2312" w:cs="仿宋_GB2312"/>
          <w:i w:val="0"/>
          <w:iCs w:val="0"/>
          <w:caps w:val="0"/>
          <w:color w:val="000000"/>
          <w:spacing w:val="0"/>
          <w:sz w:val="32"/>
          <w:szCs w:val="32"/>
          <w:shd w:val="clear" w:fill="FFFFFF"/>
        </w:rPr>
        <w:t>部门整体支出绩效自评表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 xml:space="preserve">附件1-1 </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Arial Unicode MS" w:hAnsi="Arial Unicode MS" w:eastAsia="Arial Unicode MS" w:cs="Arial Unicode MS"/>
          <w:color w:val="000000"/>
          <w:kern w:val="0"/>
          <w:sz w:val="36"/>
          <w:szCs w:val="36"/>
          <w:lang w:val="en-US" w:eastAsia="zh-CN"/>
        </w:rPr>
      </w:pPr>
      <w:r>
        <w:rPr>
          <w:rFonts w:hint="eastAsia" w:ascii="Arial Unicode MS" w:hAnsi="Arial Unicode MS" w:eastAsia="Arial Unicode MS" w:cs="Arial Unicode MS"/>
          <w:color w:val="000000"/>
          <w:kern w:val="0"/>
          <w:sz w:val="36"/>
          <w:szCs w:val="36"/>
          <w:lang w:val="en-US" w:eastAsia="zh-CN"/>
        </w:rPr>
        <w:t>部门整体支出绩效评价基础数据表</w:t>
      </w:r>
    </w:p>
    <w:p>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填报单位：                                        </w:t>
      </w:r>
    </w:p>
    <w:tbl>
      <w:tblPr>
        <w:tblStyle w:val="9"/>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年实际在职人数</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pPr>
              <w:widowControl/>
              <w:jc w:val="left"/>
              <w:rPr>
                <w:rFonts w:hint="eastAsia" w:ascii="仿宋" w:hAnsi="仿宋" w:eastAsia="仿宋" w:cs="仿宋"/>
                <w:b w:val="0"/>
                <w:bCs w:val="0"/>
                <w:kern w:val="0"/>
                <w:sz w:val="20"/>
                <w:szCs w:val="20"/>
              </w:rPr>
            </w:pP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22</w:t>
            </w:r>
            <w:r>
              <w:rPr>
                <w:rFonts w:hint="eastAsia" w:ascii="仿宋" w:hAnsi="仿宋" w:eastAsia="仿宋" w:cs="仿宋"/>
                <w:b w:val="0"/>
                <w:bCs w:val="0"/>
                <w:kern w:val="0"/>
                <w:sz w:val="20"/>
                <w:szCs w:val="20"/>
              </w:rPr>
              <w:t>年决算数</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年预算数</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val="en-US" w:eastAsia="zh-CN"/>
              </w:rPr>
              <w:t>市级</w:t>
            </w:r>
            <w:r>
              <w:rPr>
                <w:rFonts w:hint="eastAsia" w:ascii="仿宋" w:hAnsi="仿宋" w:eastAsia="仿宋" w:cs="仿宋"/>
                <w:b w:val="0"/>
                <w:bCs w:val="0"/>
                <w:kern w:val="0"/>
                <w:sz w:val="20"/>
                <w:szCs w:val="20"/>
              </w:rPr>
              <w:t>专项资金</w:t>
            </w:r>
          </w:p>
          <w:p>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（一个专项一行）</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p>
        </w:tc>
        <w:tc>
          <w:tcPr>
            <w:tcW w:w="2240" w:type="dxa"/>
            <w:gridSpan w:val="2"/>
            <w:noWrap w:val="0"/>
            <w:vAlign w:val="center"/>
          </w:tcPr>
          <w:p>
            <w:pPr>
              <w:widowControl/>
              <w:jc w:val="center"/>
              <w:rPr>
                <w:rFonts w:hint="eastAsia" w:ascii="仿宋" w:hAnsi="仿宋" w:eastAsia="仿宋" w:cs="仿宋"/>
                <w:b w:val="0"/>
                <w:bCs w:val="0"/>
                <w:kern w:val="0"/>
                <w:sz w:val="20"/>
                <w:szCs w:val="20"/>
              </w:rPr>
            </w:pPr>
          </w:p>
        </w:tc>
        <w:tc>
          <w:tcPr>
            <w:tcW w:w="1832" w:type="dxa"/>
            <w:gridSpan w:val="2"/>
            <w:noWrap w:val="0"/>
            <w:vAlign w:val="center"/>
          </w:tcPr>
          <w:p>
            <w:pPr>
              <w:widowControl/>
              <w:jc w:val="center"/>
              <w:rPr>
                <w:rFonts w:hint="eastAsia" w:ascii="仿宋" w:hAnsi="仿宋" w:eastAsia="仿宋" w:cs="仿宋"/>
                <w:b w:val="0"/>
                <w:bCs w:val="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p>
        </w:tc>
        <w:tc>
          <w:tcPr>
            <w:tcW w:w="2240" w:type="dxa"/>
            <w:gridSpan w:val="2"/>
            <w:noWrap w:val="0"/>
            <w:vAlign w:val="center"/>
          </w:tcPr>
          <w:p>
            <w:pPr>
              <w:widowControl/>
              <w:jc w:val="center"/>
              <w:rPr>
                <w:rFonts w:hint="eastAsia" w:ascii="仿宋" w:hAnsi="仿宋" w:eastAsia="仿宋" w:cs="仿宋"/>
                <w:b w:val="0"/>
                <w:bCs w:val="0"/>
                <w:kern w:val="0"/>
                <w:sz w:val="20"/>
                <w:szCs w:val="20"/>
              </w:rPr>
            </w:pPr>
          </w:p>
        </w:tc>
        <w:tc>
          <w:tcPr>
            <w:tcW w:w="1832" w:type="dxa"/>
            <w:gridSpan w:val="2"/>
            <w:noWrap w:val="0"/>
            <w:vAlign w:val="center"/>
          </w:tcPr>
          <w:p>
            <w:pPr>
              <w:widowControl/>
              <w:jc w:val="center"/>
              <w:rPr>
                <w:rFonts w:hint="eastAsia" w:ascii="仿宋" w:hAnsi="仿宋" w:eastAsia="仿宋" w:cs="仿宋"/>
                <w:b w:val="0"/>
                <w:bCs w:val="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3354" w:type="dxa"/>
            <w:noWrap w:val="0"/>
            <w:vAlign w:val="center"/>
          </w:tcPr>
          <w:p>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noWrap w:val="0"/>
            <w:vAlign w:val="center"/>
          </w:tcPr>
          <w:p>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2240" w:type="dxa"/>
            <w:gridSpan w:val="2"/>
            <w:noWrap w:val="0"/>
            <w:vAlign w:val="center"/>
          </w:tcPr>
          <w:p>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noWrap w:val="0"/>
            <w:vAlign w:val="center"/>
          </w:tcPr>
          <w:p>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2240" w:type="dxa"/>
            <w:gridSpan w:val="2"/>
            <w:noWrap w:val="0"/>
            <w:vAlign w:val="center"/>
          </w:tcPr>
          <w:p>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noWrap w:val="0"/>
            <w:vAlign w:val="center"/>
          </w:tcPr>
          <w:p>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2240" w:type="dxa"/>
            <w:gridSpan w:val="2"/>
            <w:noWrap w:val="0"/>
            <w:vAlign w:val="center"/>
          </w:tcPr>
          <w:p>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楼堂馆所控制情况</w:t>
            </w:r>
            <w:r>
              <w:rPr>
                <w:rFonts w:hint="eastAsia" w:ascii="仿宋" w:hAnsi="仿宋" w:eastAsia="仿宋" w:cs="仿宋"/>
                <w:b w:val="0"/>
                <w:bCs w:val="0"/>
                <w:kern w:val="0"/>
                <w:sz w:val="20"/>
                <w:szCs w:val="20"/>
              </w:rPr>
              <w:br w:type="textWrapping"/>
            </w:r>
          </w:p>
        </w:tc>
        <w:tc>
          <w:tcPr>
            <w:tcW w:w="1189" w:type="dxa"/>
            <w:noWrap w:val="0"/>
            <w:vAlign w:val="center"/>
          </w:tcPr>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批复规模</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rPr>
              <w:t>（㎡）</w:t>
            </w:r>
          </w:p>
        </w:tc>
        <w:tc>
          <w:tcPr>
            <w:tcW w:w="849" w:type="dxa"/>
            <w:noWrap w:val="0"/>
            <w:vAlign w:val="center"/>
          </w:tcPr>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pPr>
              <w:widowControl/>
              <w:jc w:val="left"/>
              <w:rPr>
                <w:rFonts w:hint="eastAsia" w:ascii="仿宋" w:hAnsi="仿宋" w:eastAsia="仿宋" w:cs="仿宋"/>
                <w:b w:val="0"/>
                <w:bCs w:val="0"/>
                <w:kern w:val="0"/>
                <w:sz w:val="20"/>
                <w:szCs w:val="20"/>
              </w:rPr>
            </w:pPr>
          </w:p>
        </w:tc>
        <w:tc>
          <w:tcPr>
            <w:tcW w:w="1189" w:type="dxa"/>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849"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129"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111"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969"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863"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0" w:hRule="atLeast"/>
          <w:jc w:val="center"/>
        </w:trPr>
        <w:tc>
          <w:tcPr>
            <w:tcW w:w="3354" w:type="dxa"/>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bl>
    <w:p>
      <w:pPr>
        <w:pStyle w:val="12"/>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t>附件1-2</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Arial Unicode MS" w:hAnsi="Arial Unicode MS" w:eastAsia="Arial Unicode MS" w:cs="Arial Unicode MS"/>
          <w:color w:val="000000"/>
          <w:kern w:val="0"/>
          <w:sz w:val="36"/>
          <w:szCs w:val="36"/>
          <w:lang w:val="en-US" w:eastAsia="zh-CN"/>
        </w:rPr>
      </w:pPr>
      <w:r>
        <w:rPr>
          <w:rFonts w:hint="eastAsia" w:ascii="Arial Unicode MS" w:hAnsi="Arial Unicode MS" w:eastAsia="Arial Unicode MS" w:cs="Arial Unicode MS"/>
          <w:color w:val="000000"/>
          <w:kern w:val="0"/>
          <w:sz w:val="36"/>
          <w:szCs w:val="36"/>
          <w:lang w:val="en-US" w:eastAsia="zh-CN"/>
        </w:rPr>
        <w:t>整体支出绩效自评表</w:t>
      </w:r>
    </w:p>
    <w:tbl>
      <w:tblPr>
        <w:tblStyle w:val="9"/>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9"/>
        <w:gridCol w:w="1176"/>
        <w:gridCol w:w="1128"/>
        <w:gridCol w:w="998"/>
        <w:gridCol w:w="95"/>
        <w:gridCol w:w="1200"/>
        <w:gridCol w:w="1134"/>
        <w:gridCol w:w="709"/>
        <w:gridCol w:w="460"/>
        <w:gridCol w:w="11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16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val="en-US" w:eastAsia="zh-CN"/>
              </w:rPr>
              <w:t>单位</w:t>
            </w:r>
            <w:r>
              <w:rPr>
                <w:rFonts w:hint="eastAsia" w:ascii="仿宋" w:hAnsi="仿宋" w:eastAsia="仿宋" w:cs="仿宋"/>
                <w:color w:val="000000"/>
                <w:kern w:val="0"/>
                <w:sz w:val="20"/>
                <w:szCs w:val="20"/>
              </w:rPr>
              <w:t>名称</w:t>
            </w:r>
          </w:p>
        </w:tc>
        <w:tc>
          <w:tcPr>
            <w:tcW w:w="8093" w:type="dxa"/>
            <w:gridSpan w:val="9"/>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6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30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99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295"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230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99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1295"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97"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496"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97"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xml:space="preserve">  其中：  一般公共预算：</w:t>
            </w:r>
          </w:p>
        </w:tc>
        <w:tc>
          <w:tcPr>
            <w:tcW w:w="3496"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其中：基本支出：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97"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w:t>
            </w:r>
          </w:p>
        </w:tc>
        <w:tc>
          <w:tcPr>
            <w:tcW w:w="3496"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97"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w:t>
            </w:r>
          </w:p>
        </w:tc>
        <w:tc>
          <w:tcPr>
            <w:tcW w:w="3496"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97"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3496"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97"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496"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97"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3496"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6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7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1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93"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p>
        </w:tc>
        <w:tc>
          <w:tcPr>
            <w:tcW w:w="1128"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w:t>
            </w:r>
            <w:r>
              <w:rPr>
                <w:rFonts w:hint="eastAsia" w:ascii="仿宋" w:hAnsi="仿宋" w:eastAsia="仿宋" w:cs="仿宋"/>
                <w:color w:val="000000"/>
                <w:kern w:val="0"/>
                <w:sz w:val="20"/>
                <w:szCs w:val="20"/>
                <w:lang w:val="en-US" w:eastAsia="zh-CN"/>
              </w:rPr>
              <w:t>0</w:t>
            </w:r>
            <w:r>
              <w:rPr>
                <w:rFonts w:hint="eastAsia" w:ascii="仿宋" w:hAnsi="仿宋" w:eastAsia="仿宋" w:cs="仿宋"/>
                <w:color w:val="000000"/>
                <w:kern w:val="0"/>
                <w:sz w:val="20"/>
                <w:szCs w:val="20"/>
              </w:rPr>
              <w:t>分）</w:t>
            </w:r>
          </w:p>
        </w:tc>
        <w:tc>
          <w:tcPr>
            <w:tcW w:w="1128"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76"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128"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00" w:type="dxa"/>
            <w:gridSpan w:val="7"/>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46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 </w:t>
      </w:r>
    </w:p>
    <w:p>
      <w:pPr>
        <w:rPr>
          <w:rFonts w:hint="default"/>
          <w:lang w:val="en-US" w:eastAsia="zh-CN"/>
        </w:rPr>
      </w:pPr>
      <w:r>
        <w:rPr>
          <w:rFonts w:hint="default"/>
          <w:lang w:val="en-US" w:eastAsia="zh-CN"/>
        </w:rPr>
        <w:br w:type="page"/>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t>附件2</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ascii="方正小标宋_GBK" w:hAnsi="方正小标宋_GBK" w:eastAsia="方正小标宋_GBK" w:cs="方正小标宋_GBK"/>
          <w:i w:val="0"/>
          <w:iCs w:val="0"/>
          <w:caps w:val="0"/>
          <w:color w:val="000000"/>
          <w:spacing w:val="0"/>
          <w:sz w:val="44"/>
          <w:szCs w:val="44"/>
        </w:rPr>
      </w:pPr>
      <w:r>
        <w:rPr>
          <w:rFonts w:hint="eastAsia" w:ascii="方正小标宋_GBK" w:hAnsi="方正小标宋_GBK" w:eastAsia="方正小标宋_GBK" w:cs="方正小标宋_GBK"/>
          <w:i w:val="0"/>
          <w:iCs w:val="0"/>
          <w:caps w:val="0"/>
          <w:color w:val="000000"/>
          <w:spacing w:val="0"/>
          <w:sz w:val="44"/>
          <w:szCs w:val="44"/>
          <w:shd w:val="clear" w:fill="FFFFFF"/>
        </w:rPr>
        <w:t>项目支出绩效自评报告</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方正小标宋_GBK" w:hAnsi="方正小标宋_GBK" w:eastAsia="方正小标宋_GBK" w:cs="方正小标宋_GBK"/>
          <w:i w:val="0"/>
          <w:iCs w:val="0"/>
          <w:caps w:val="0"/>
          <w:color w:val="000000"/>
          <w:spacing w:val="0"/>
          <w:sz w:val="24"/>
          <w:szCs w:val="24"/>
        </w:rPr>
      </w:pPr>
      <w:r>
        <w:rPr>
          <w:rFonts w:hint="eastAsia" w:ascii="方正小标宋_GBK" w:hAnsi="方正小标宋_GBK" w:eastAsia="方正小标宋_GBK" w:cs="方正小标宋_GBK"/>
          <w:i w:val="0"/>
          <w:iCs w:val="0"/>
          <w:caps w:val="0"/>
          <w:color w:val="000000"/>
          <w:spacing w:val="0"/>
          <w:sz w:val="24"/>
          <w:szCs w:val="24"/>
          <w:shd w:val="clear" w:fill="FFFFFF"/>
        </w:rPr>
        <w:t>（参考提纲）</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640" w:firstLineChars="200"/>
        <w:jc w:val="both"/>
        <w:textAlignment w:val="auto"/>
        <w:rPr>
          <w:rFonts w:hint="eastAsia" w:ascii="黑体" w:hAnsi="黑体" w:eastAsia="黑体" w:cs="黑体"/>
          <w:i w:val="0"/>
          <w:iCs w:val="0"/>
          <w:caps w:val="0"/>
          <w:color w:val="000000"/>
          <w:spacing w:val="0"/>
          <w:sz w:val="32"/>
          <w:szCs w:val="32"/>
        </w:rPr>
      </w:pPr>
      <w:r>
        <w:rPr>
          <w:rFonts w:hint="eastAsia" w:ascii="方正小标宋_GBK" w:hAnsi="方正小标宋_GBK" w:eastAsia="方正小标宋_GBK" w:cs="方正小标宋_GBK"/>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一、项目基本情况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2" w:firstLineChars="200"/>
        <w:jc w:val="both"/>
        <w:textAlignment w:val="auto"/>
        <w:rPr>
          <w:rFonts w:hint="eastAsia" w:ascii="楷体" w:hAnsi="楷体" w:eastAsia="楷体" w:cs="楷体"/>
          <w:b/>
          <w:bCs/>
          <w:i w:val="0"/>
          <w:iCs w:val="0"/>
          <w:caps w:val="0"/>
          <w:color w:val="000000"/>
          <w:spacing w:val="0"/>
          <w:sz w:val="32"/>
          <w:szCs w:val="32"/>
          <w:shd w:val="clear" w:fill="FFFFFF"/>
        </w:rPr>
      </w:pPr>
      <w:r>
        <w:rPr>
          <w:rFonts w:hint="eastAsia" w:ascii="楷体" w:hAnsi="楷体" w:eastAsia="楷体" w:cs="楷体"/>
          <w:b/>
          <w:bCs/>
          <w:i w:val="0"/>
          <w:iCs w:val="0"/>
          <w:caps w:val="0"/>
          <w:color w:val="000000"/>
          <w:spacing w:val="0"/>
          <w:sz w:val="32"/>
          <w:szCs w:val="32"/>
          <w:shd w:val="clear" w:fill="FFFFFF"/>
        </w:rPr>
        <w:t>（一）项目概况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1.项目决策背景</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2.项目主要内容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3.项目组织管理机构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2" w:firstLineChars="200"/>
        <w:jc w:val="both"/>
        <w:textAlignment w:val="auto"/>
        <w:rPr>
          <w:rFonts w:hint="default" w:ascii="楷体" w:hAnsi="楷体" w:eastAsia="楷体" w:cs="楷体"/>
          <w:b/>
          <w:bCs/>
          <w:i w:val="0"/>
          <w:iCs w:val="0"/>
          <w:caps w:val="0"/>
          <w:color w:val="000000"/>
          <w:spacing w:val="0"/>
          <w:sz w:val="32"/>
          <w:szCs w:val="32"/>
          <w:shd w:val="clear" w:fill="FFFFFF"/>
        </w:rPr>
      </w:pPr>
      <w:r>
        <w:rPr>
          <w:rFonts w:hint="default" w:ascii="楷体" w:hAnsi="楷体" w:eastAsia="楷体" w:cs="楷体"/>
          <w:b/>
          <w:bCs/>
          <w:i w:val="0"/>
          <w:iCs w:val="0"/>
          <w:caps w:val="0"/>
          <w:color w:val="000000"/>
          <w:spacing w:val="0"/>
          <w:sz w:val="32"/>
          <w:szCs w:val="32"/>
          <w:shd w:val="clear" w:fill="FFFFFF"/>
        </w:rPr>
        <w:t>（二）预算资金使用管理情况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1"/>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bookmarkStart w:id="0" w:name="_Toc10810"/>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1.预算资金安排及管理情况</w:t>
      </w:r>
      <w:bookmarkEnd w:id="0"/>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（1）资金来源及拨付流程</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（2）资金到位情况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（2）资金使用情况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（3）资金管理制度及执行情况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2</w:t>
      </w: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.项目组织实施管理情况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2" w:firstLineChars="200"/>
        <w:jc w:val="both"/>
        <w:textAlignment w:val="auto"/>
        <w:rPr>
          <w:rFonts w:hint="eastAsia" w:ascii="楷体" w:hAnsi="楷体" w:eastAsia="楷体" w:cs="楷体"/>
          <w:b/>
          <w:bCs/>
          <w:i w:val="0"/>
          <w:iCs w:val="0"/>
          <w:caps w:val="0"/>
          <w:color w:val="000000"/>
          <w:spacing w:val="0"/>
          <w:sz w:val="32"/>
          <w:szCs w:val="32"/>
          <w:shd w:val="clear" w:fill="FFFFFF"/>
        </w:rPr>
      </w:pPr>
      <w:r>
        <w:rPr>
          <w:rFonts w:hint="eastAsia" w:ascii="楷体" w:hAnsi="楷体" w:eastAsia="楷体" w:cs="楷体"/>
          <w:b/>
          <w:bCs/>
          <w:i w:val="0"/>
          <w:iCs w:val="0"/>
          <w:caps w:val="0"/>
          <w:color w:val="000000"/>
          <w:spacing w:val="0"/>
          <w:sz w:val="32"/>
          <w:szCs w:val="32"/>
          <w:shd w:val="clear" w:fill="FFFFFF"/>
        </w:rPr>
        <w:t>（三）预算绩效目标情况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1.绩效目标</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2.绩效指标</w:t>
      </w:r>
    </w:p>
    <w:p>
      <w:pPr>
        <w:pStyle w:val="8"/>
        <w:keepNext w:val="0"/>
        <w:keepLines w:val="0"/>
        <w:pageBreakBefore w:val="0"/>
        <w:widowControl w:val="0"/>
        <w:kinsoku/>
        <w:wordWrap/>
        <w:overflowPunct/>
        <w:topLinePunct w:val="0"/>
        <w:autoSpaceDE/>
        <w:autoSpaceDN/>
        <w:bidi w:val="0"/>
        <w:adjustRightInd/>
        <w:snapToGrid w:val="0"/>
        <w:spacing w:beforeLines="0" w:afterLines="0" w:line="520" w:lineRule="exact"/>
        <w:ind w:left="0" w:leftChars="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二、绩效评价工作情况</w:t>
      </w: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2"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（一）绩效评价目的</w:t>
      </w: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2"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bookmarkStart w:id="1" w:name="_Toc11844"/>
      <w:r>
        <w:rPr>
          <w:rFonts w:hint="eastAsia" w:ascii="楷体" w:hAnsi="楷体" w:eastAsia="楷体" w:cs="楷体"/>
          <w:b/>
          <w:bCs/>
          <w:i w:val="0"/>
          <w:iCs w:val="0"/>
          <w:caps w:val="0"/>
          <w:color w:val="000000"/>
          <w:spacing w:val="0"/>
          <w:kern w:val="0"/>
          <w:sz w:val="32"/>
          <w:szCs w:val="32"/>
          <w:shd w:val="clear" w:fill="FFFFFF"/>
          <w:lang w:val="en-US" w:eastAsia="zh-CN" w:bidi="ar"/>
        </w:rPr>
        <w:t>（二）被评价单位、绩效评价范围与时段</w:t>
      </w:r>
      <w:bookmarkEnd w:id="1"/>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2" w:firstLineChars="200"/>
        <w:textAlignment w:val="auto"/>
        <w:rPr>
          <w:rFonts w:hint="eastAsia" w:ascii="楷体" w:hAnsi="楷体" w:eastAsia="楷体" w:cs="楷体"/>
          <w:b w:val="0"/>
          <w:bCs w:val="0"/>
          <w:i w:val="0"/>
          <w:iCs w:val="0"/>
          <w:caps w:val="0"/>
          <w:color w:val="000000"/>
          <w:spacing w:val="0"/>
          <w:kern w:val="0"/>
          <w:sz w:val="32"/>
          <w:szCs w:val="32"/>
          <w:shd w:val="clear" w:fill="FFFFFF"/>
          <w:lang w:val="en-US" w:eastAsia="zh-CN" w:bidi="ar"/>
        </w:rPr>
      </w:pPr>
      <w:bookmarkStart w:id="2" w:name="_Toc31835"/>
      <w:r>
        <w:rPr>
          <w:rFonts w:hint="eastAsia" w:ascii="楷体" w:hAnsi="楷体" w:eastAsia="楷体" w:cs="楷体"/>
          <w:b/>
          <w:bCs/>
          <w:i w:val="0"/>
          <w:iCs w:val="0"/>
          <w:caps w:val="0"/>
          <w:color w:val="000000"/>
          <w:spacing w:val="0"/>
          <w:kern w:val="0"/>
          <w:sz w:val="32"/>
          <w:szCs w:val="32"/>
          <w:shd w:val="clear" w:fill="FFFFFF"/>
          <w:lang w:val="en-US" w:eastAsia="zh-CN" w:bidi="ar"/>
        </w:rPr>
        <w:t>（三）绩效评价原则、评价指标体系、评价方法</w:t>
      </w:r>
      <w:bookmarkEnd w:id="2"/>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0"/>
        <w:rPr>
          <w:rFonts w:hint="eastAsia" w:ascii="黑体" w:hAnsi="黑体" w:eastAsia="黑体" w:cs="黑体"/>
          <w:i w:val="0"/>
          <w:iCs w:val="0"/>
          <w:caps w:val="0"/>
          <w:color w:val="000000"/>
          <w:spacing w:val="0"/>
          <w:kern w:val="0"/>
          <w:sz w:val="32"/>
          <w:szCs w:val="32"/>
          <w:shd w:val="clear" w:fill="FFFFFF"/>
          <w:lang w:val="en-US" w:eastAsia="zh-CN" w:bidi="ar"/>
        </w:rPr>
      </w:pPr>
      <w:bookmarkStart w:id="3" w:name="_Toc7615"/>
      <w:bookmarkStart w:id="4" w:name="_Toc32076"/>
      <w:r>
        <w:rPr>
          <w:rFonts w:hint="eastAsia" w:ascii="黑体" w:hAnsi="黑体" w:eastAsia="黑体" w:cs="黑体"/>
          <w:i w:val="0"/>
          <w:iCs w:val="0"/>
          <w:caps w:val="0"/>
          <w:color w:val="000000"/>
          <w:spacing w:val="0"/>
          <w:kern w:val="0"/>
          <w:sz w:val="32"/>
          <w:szCs w:val="32"/>
          <w:shd w:val="clear" w:fill="FFFFFF"/>
          <w:lang w:val="en-US" w:eastAsia="zh-CN" w:bidi="ar"/>
        </w:rPr>
        <w:t>三、主要绩效及评价结论</w:t>
      </w:r>
      <w:bookmarkEnd w:id="3"/>
      <w:bookmarkEnd w:id="4"/>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2"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（一）社会效益</w:t>
      </w: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2"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（二）生态效益</w:t>
      </w: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2"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（三）可持续影响</w:t>
      </w: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2"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（四）满意度情况</w:t>
      </w: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2" w:firstLineChars="200"/>
        <w:textAlignment w:val="auto"/>
        <w:rPr>
          <w:rFonts w:hint="default"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（五）评价结论</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0"/>
        <w:rPr>
          <w:rFonts w:hint="eastAsia" w:ascii="黑体" w:hAnsi="黑体" w:eastAsia="黑体" w:cs="黑体"/>
          <w:i w:val="0"/>
          <w:iCs w:val="0"/>
          <w:caps w:val="0"/>
          <w:color w:val="000000"/>
          <w:spacing w:val="0"/>
          <w:kern w:val="0"/>
          <w:sz w:val="32"/>
          <w:szCs w:val="32"/>
          <w:shd w:val="clear" w:fill="FFFFFF"/>
          <w:lang w:val="en-US" w:eastAsia="zh-CN" w:bidi="ar"/>
        </w:rPr>
      </w:pPr>
      <w:bookmarkStart w:id="5" w:name="_Toc27541"/>
      <w:bookmarkStart w:id="6" w:name="_Toc16332"/>
      <w:r>
        <w:rPr>
          <w:rFonts w:hint="eastAsia" w:ascii="黑体" w:hAnsi="黑体" w:eastAsia="黑体" w:cs="黑体"/>
          <w:i w:val="0"/>
          <w:iCs w:val="0"/>
          <w:caps w:val="0"/>
          <w:color w:val="000000"/>
          <w:spacing w:val="0"/>
          <w:kern w:val="0"/>
          <w:sz w:val="32"/>
          <w:szCs w:val="32"/>
          <w:shd w:val="clear" w:fill="FFFFFF"/>
          <w:lang w:val="en-US" w:eastAsia="zh-CN" w:bidi="ar"/>
        </w:rPr>
        <w:t>四、绩效评价指标分析</w:t>
      </w:r>
      <w:bookmarkEnd w:id="5"/>
      <w:bookmarkEnd w:id="6"/>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2"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bookmarkStart w:id="7" w:name="_Toc17679"/>
      <w:r>
        <w:rPr>
          <w:rFonts w:hint="eastAsia" w:ascii="楷体" w:hAnsi="楷体" w:eastAsia="楷体" w:cs="楷体"/>
          <w:b/>
          <w:bCs/>
          <w:i w:val="0"/>
          <w:iCs w:val="0"/>
          <w:caps w:val="0"/>
          <w:color w:val="000000"/>
          <w:spacing w:val="0"/>
          <w:kern w:val="0"/>
          <w:sz w:val="32"/>
          <w:szCs w:val="32"/>
          <w:shd w:val="clear" w:fill="FFFFFF"/>
          <w:lang w:val="en-US" w:eastAsia="zh-CN" w:bidi="ar"/>
        </w:rPr>
        <w:t>(一)项目决策情况</w:t>
      </w:r>
      <w:bookmarkEnd w:id="7"/>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2"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bookmarkStart w:id="8" w:name="_Toc28411"/>
      <w:r>
        <w:rPr>
          <w:rFonts w:hint="eastAsia" w:ascii="楷体" w:hAnsi="楷体" w:eastAsia="楷体" w:cs="楷体"/>
          <w:b/>
          <w:bCs/>
          <w:i w:val="0"/>
          <w:iCs w:val="0"/>
          <w:caps w:val="0"/>
          <w:color w:val="000000"/>
          <w:spacing w:val="0"/>
          <w:kern w:val="0"/>
          <w:sz w:val="32"/>
          <w:szCs w:val="32"/>
          <w:shd w:val="clear" w:fill="FFFFFF"/>
          <w:lang w:val="en-US" w:eastAsia="zh-CN" w:bidi="ar"/>
        </w:rPr>
        <w:t>(二)项目过程情况</w:t>
      </w:r>
      <w:bookmarkEnd w:id="8"/>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outlineLvl w:val="2"/>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bookmarkStart w:id="9" w:name="_Toc10140"/>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1.资金管理</w:t>
      </w:r>
      <w:bookmarkEnd w:id="9"/>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outlineLvl w:val="2"/>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bookmarkStart w:id="10" w:name="_Toc1210"/>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2.项目实施</w:t>
      </w:r>
      <w:bookmarkEnd w:id="10"/>
    </w:p>
    <w:p>
      <w:pPr>
        <w:pStyle w:val="8"/>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1"/>
        <w:rPr>
          <w:rFonts w:hint="eastAsia" w:ascii="楷体" w:hAnsi="楷体" w:eastAsia="楷体" w:cs="楷体"/>
          <w:b/>
          <w:bCs/>
          <w:i w:val="0"/>
          <w:iCs w:val="0"/>
          <w:caps w:val="0"/>
          <w:color w:val="000000"/>
          <w:spacing w:val="0"/>
          <w:kern w:val="0"/>
          <w:sz w:val="32"/>
          <w:szCs w:val="32"/>
          <w:shd w:val="clear" w:fill="FFFFFF"/>
          <w:lang w:val="en-US" w:eastAsia="zh-CN" w:bidi="ar"/>
        </w:rPr>
      </w:pPr>
      <w:bookmarkStart w:id="11" w:name="_Toc6604"/>
      <w:r>
        <w:rPr>
          <w:rFonts w:hint="eastAsia" w:ascii="楷体" w:hAnsi="楷体" w:eastAsia="楷体" w:cs="楷体"/>
          <w:b/>
          <w:bCs/>
          <w:i w:val="0"/>
          <w:iCs w:val="0"/>
          <w:caps w:val="0"/>
          <w:color w:val="000000"/>
          <w:spacing w:val="0"/>
          <w:kern w:val="0"/>
          <w:sz w:val="32"/>
          <w:szCs w:val="32"/>
          <w:shd w:val="clear" w:fill="FFFFFF"/>
          <w:lang w:val="en-US" w:eastAsia="zh-CN" w:bidi="ar"/>
        </w:rPr>
        <w:t>(三)项目产出情况</w:t>
      </w:r>
      <w:bookmarkEnd w:id="11"/>
    </w:p>
    <w:p>
      <w:pPr>
        <w:pStyle w:val="8"/>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2"/>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bookmarkStart w:id="12" w:name="_Toc20742"/>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1.产出数量</w:t>
      </w:r>
      <w:bookmarkEnd w:id="12"/>
    </w:p>
    <w:p>
      <w:pPr>
        <w:pStyle w:val="8"/>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2"/>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bookmarkStart w:id="13" w:name="_Toc5372"/>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2.产出质量</w:t>
      </w:r>
      <w:bookmarkEnd w:id="13"/>
    </w:p>
    <w:p>
      <w:pPr>
        <w:pStyle w:val="8"/>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2"/>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bookmarkStart w:id="14" w:name="_Toc25948"/>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3.产出成本</w:t>
      </w:r>
      <w:bookmarkEnd w:id="14"/>
    </w:p>
    <w:p>
      <w:pPr>
        <w:pStyle w:val="8"/>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2"/>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bookmarkStart w:id="15" w:name="_Toc21477"/>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4.产出时效</w:t>
      </w:r>
      <w:bookmarkEnd w:id="15"/>
    </w:p>
    <w:p>
      <w:pPr>
        <w:pStyle w:val="8"/>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1"/>
        <w:rPr>
          <w:rFonts w:hint="eastAsia" w:ascii="楷体" w:hAnsi="楷体" w:eastAsia="楷体" w:cs="楷体"/>
          <w:b/>
          <w:bCs/>
          <w:i w:val="0"/>
          <w:iCs w:val="0"/>
          <w:caps w:val="0"/>
          <w:color w:val="000000"/>
          <w:spacing w:val="0"/>
          <w:kern w:val="0"/>
          <w:sz w:val="32"/>
          <w:szCs w:val="32"/>
          <w:shd w:val="clear" w:fill="FFFFFF"/>
          <w:lang w:val="en-US" w:eastAsia="zh-CN" w:bidi="ar"/>
        </w:rPr>
      </w:pPr>
      <w:bookmarkStart w:id="16" w:name="_Toc3072"/>
      <w:bookmarkStart w:id="17" w:name="_Toc12690"/>
      <w:r>
        <w:rPr>
          <w:rFonts w:hint="eastAsia" w:ascii="楷体" w:hAnsi="楷体" w:eastAsia="楷体" w:cs="楷体"/>
          <w:b/>
          <w:bCs/>
          <w:i w:val="0"/>
          <w:iCs w:val="0"/>
          <w:caps w:val="0"/>
          <w:color w:val="000000"/>
          <w:spacing w:val="0"/>
          <w:kern w:val="0"/>
          <w:sz w:val="32"/>
          <w:szCs w:val="32"/>
          <w:shd w:val="clear" w:fill="FFFFFF"/>
          <w:lang w:val="en-US" w:eastAsia="zh-CN" w:bidi="ar"/>
        </w:rPr>
        <w:t>(四)项目效益情况</w:t>
      </w:r>
      <w:bookmarkEnd w:id="16"/>
      <w:bookmarkEnd w:id="17"/>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0"/>
        <w:rPr>
          <w:rFonts w:hint="eastAsia" w:ascii="黑体" w:hAnsi="黑体" w:eastAsia="黑体" w:cs="黑体"/>
          <w:i w:val="0"/>
          <w:iCs w:val="0"/>
          <w:caps w:val="0"/>
          <w:color w:val="000000"/>
          <w:spacing w:val="0"/>
          <w:kern w:val="0"/>
          <w:sz w:val="32"/>
          <w:szCs w:val="32"/>
          <w:shd w:val="clear" w:fill="FFFFFF"/>
          <w:lang w:val="en-US" w:eastAsia="zh-CN" w:bidi="ar"/>
        </w:rPr>
      </w:pPr>
      <w:bookmarkStart w:id="18" w:name="_Toc390096931"/>
      <w:bookmarkStart w:id="19" w:name="_Toc390267055"/>
      <w:bookmarkStart w:id="20" w:name="_Toc24241"/>
      <w:bookmarkStart w:id="21" w:name="_Toc12414"/>
      <w:r>
        <w:rPr>
          <w:rFonts w:hint="eastAsia" w:ascii="黑体" w:hAnsi="黑体" w:eastAsia="黑体" w:cs="黑体"/>
          <w:i w:val="0"/>
          <w:iCs w:val="0"/>
          <w:caps w:val="0"/>
          <w:color w:val="000000"/>
          <w:spacing w:val="0"/>
          <w:kern w:val="0"/>
          <w:sz w:val="32"/>
          <w:szCs w:val="32"/>
          <w:shd w:val="clear" w:fill="FFFFFF"/>
          <w:lang w:val="en-US" w:eastAsia="zh-CN" w:bidi="ar"/>
        </w:rPr>
        <w:t>五、项目主要经验、存在的问题</w:t>
      </w:r>
      <w:bookmarkEnd w:id="18"/>
      <w:bookmarkEnd w:id="19"/>
      <w:r>
        <w:rPr>
          <w:rFonts w:hint="eastAsia" w:ascii="黑体" w:hAnsi="黑体" w:eastAsia="黑体" w:cs="黑体"/>
          <w:i w:val="0"/>
          <w:iCs w:val="0"/>
          <w:caps w:val="0"/>
          <w:color w:val="000000"/>
          <w:spacing w:val="0"/>
          <w:kern w:val="0"/>
          <w:sz w:val="32"/>
          <w:szCs w:val="32"/>
          <w:shd w:val="clear" w:fill="FFFFFF"/>
          <w:lang w:val="en-US" w:eastAsia="zh-CN" w:bidi="ar"/>
        </w:rPr>
        <w:t>及建议</w:t>
      </w:r>
      <w:bookmarkEnd w:id="20"/>
      <w:bookmarkEnd w:id="21"/>
    </w:p>
    <w:p>
      <w:pPr>
        <w:keepNext w:val="0"/>
        <w:keepLines w:val="0"/>
        <w:pageBreakBefore w:val="0"/>
        <w:widowControl w:val="0"/>
        <w:kinsoku/>
        <w:wordWrap/>
        <w:overflowPunct/>
        <w:topLinePunct w:val="0"/>
        <w:autoSpaceDE/>
        <w:autoSpaceDN/>
        <w:bidi w:val="0"/>
        <w:adjustRightInd/>
        <w:snapToGrid w:val="0"/>
        <w:spacing w:line="520" w:lineRule="exact"/>
        <w:ind w:firstLine="642" w:firstLineChars="200"/>
        <w:textAlignment w:val="auto"/>
        <w:outlineLvl w:val="1"/>
        <w:rPr>
          <w:rFonts w:hint="default" w:ascii="楷体" w:hAnsi="楷体" w:eastAsia="楷体" w:cs="楷体"/>
          <w:b/>
          <w:bCs/>
          <w:i w:val="0"/>
          <w:iCs w:val="0"/>
          <w:caps w:val="0"/>
          <w:color w:val="000000"/>
          <w:spacing w:val="0"/>
          <w:kern w:val="0"/>
          <w:sz w:val="32"/>
          <w:szCs w:val="32"/>
          <w:shd w:val="clear" w:fill="FFFFFF"/>
          <w:lang w:val="en-US" w:eastAsia="zh-CN" w:bidi="ar"/>
        </w:rPr>
      </w:pPr>
      <w:bookmarkStart w:id="22" w:name="_Toc23434"/>
      <w:bookmarkStart w:id="23" w:name="_Toc5316"/>
      <w:r>
        <w:rPr>
          <w:rFonts w:hint="eastAsia" w:ascii="楷体" w:hAnsi="楷体" w:eastAsia="楷体" w:cs="楷体"/>
          <w:b/>
          <w:bCs/>
          <w:i w:val="0"/>
          <w:iCs w:val="0"/>
          <w:caps w:val="0"/>
          <w:color w:val="000000"/>
          <w:spacing w:val="0"/>
          <w:kern w:val="0"/>
          <w:sz w:val="32"/>
          <w:szCs w:val="32"/>
          <w:shd w:val="clear" w:fill="FFFFFF"/>
          <w:lang w:val="en-US" w:eastAsia="zh-CN" w:bidi="ar"/>
        </w:rPr>
        <w:t>（一）项目主要经验</w:t>
      </w:r>
      <w:bookmarkEnd w:id="22"/>
      <w:r>
        <w:rPr>
          <w:rFonts w:hint="eastAsia" w:ascii="楷体" w:hAnsi="楷体" w:eastAsia="楷体" w:cs="楷体"/>
          <w:b/>
          <w:bCs/>
          <w:i w:val="0"/>
          <w:iCs w:val="0"/>
          <w:caps w:val="0"/>
          <w:color w:val="000000"/>
          <w:spacing w:val="0"/>
          <w:kern w:val="0"/>
          <w:sz w:val="32"/>
          <w:szCs w:val="32"/>
          <w:shd w:val="clear" w:fill="FFFFFF"/>
          <w:lang w:val="en-US" w:eastAsia="zh-CN" w:bidi="ar"/>
        </w:rPr>
        <w:t>及做法</w:t>
      </w:r>
      <w:bookmarkEnd w:id="23"/>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2" w:firstLineChars="200"/>
        <w:textAlignment w:val="auto"/>
        <w:outlineLvl w:val="1"/>
        <w:rPr>
          <w:rFonts w:hint="eastAsia" w:ascii="楷体" w:hAnsi="楷体" w:eastAsia="楷体" w:cs="楷体"/>
          <w:b/>
          <w:bCs/>
          <w:i w:val="0"/>
          <w:iCs w:val="0"/>
          <w:caps w:val="0"/>
          <w:color w:val="000000"/>
          <w:spacing w:val="0"/>
          <w:kern w:val="0"/>
          <w:sz w:val="32"/>
          <w:szCs w:val="32"/>
          <w:shd w:val="clear" w:fill="FFFFFF"/>
          <w:lang w:val="en-US" w:eastAsia="zh-CN" w:bidi="ar"/>
        </w:rPr>
      </w:pPr>
      <w:bookmarkStart w:id="24" w:name="_Toc6772"/>
      <w:bookmarkStart w:id="25" w:name="_Toc2597"/>
      <w:r>
        <w:rPr>
          <w:rFonts w:hint="eastAsia" w:ascii="楷体" w:hAnsi="楷体" w:eastAsia="楷体" w:cs="楷体"/>
          <w:b/>
          <w:bCs/>
          <w:i w:val="0"/>
          <w:iCs w:val="0"/>
          <w:caps w:val="0"/>
          <w:color w:val="000000"/>
          <w:spacing w:val="0"/>
          <w:kern w:val="0"/>
          <w:sz w:val="32"/>
          <w:szCs w:val="32"/>
          <w:shd w:val="clear" w:fill="FFFFFF"/>
          <w:lang w:val="en-US" w:eastAsia="zh-CN" w:bidi="ar"/>
        </w:rPr>
        <w:t>（二）存在的问题</w:t>
      </w:r>
      <w:bookmarkEnd w:id="24"/>
      <w:bookmarkEnd w:id="25"/>
    </w:p>
    <w:p>
      <w:pPr>
        <w:keepNext w:val="0"/>
        <w:keepLines w:val="0"/>
        <w:pageBreakBefore w:val="0"/>
        <w:widowControl w:val="0"/>
        <w:kinsoku/>
        <w:wordWrap/>
        <w:overflowPunct/>
        <w:topLinePunct w:val="0"/>
        <w:autoSpaceDE/>
        <w:autoSpaceDN/>
        <w:bidi w:val="0"/>
        <w:adjustRightInd/>
        <w:snapToGrid w:val="0"/>
        <w:spacing w:line="520" w:lineRule="exact"/>
        <w:ind w:firstLine="642" w:firstLineChars="200"/>
        <w:textAlignment w:val="auto"/>
        <w:outlineLvl w:val="1"/>
        <w:rPr>
          <w:rFonts w:hint="default" w:ascii="Times New Roman" w:hAnsi="Times New Roman" w:cs="Times New Roman"/>
          <w:i w:val="0"/>
          <w:iCs w:val="0"/>
          <w:caps w:val="0"/>
          <w:color w:val="000000"/>
          <w:spacing w:val="0"/>
          <w:sz w:val="32"/>
          <w:szCs w:val="32"/>
        </w:rPr>
      </w:pPr>
      <w:bookmarkStart w:id="26" w:name="_Toc29278"/>
      <w:bookmarkStart w:id="27" w:name="_Toc16271"/>
      <w:r>
        <w:rPr>
          <w:rFonts w:hint="eastAsia" w:ascii="楷体" w:hAnsi="楷体" w:eastAsia="楷体" w:cs="楷体"/>
          <w:b/>
          <w:bCs/>
          <w:i w:val="0"/>
          <w:iCs w:val="0"/>
          <w:caps w:val="0"/>
          <w:color w:val="000000"/>
          <w:spacing w:val="0"/>
          <w:kern w:val="0"/>
          <w:sz w:val="32"/>
          <w:szCs w:val="32"/>
          <w:shd w:val="clear" w:fill="FFFFFF"/>
          <w:lang w:val="en-US" w:eastAsia="zh-CN" w:bidi="ar"/>
        </w:rPr>
        <w:t>（三）有关建议</w:t>
      </w:r>
      <w:bookmarkEnd w:id="26"/>
      <w:bookmarkEnd w:id="27"/>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报告应包括以下附件：</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项目支出绩效自评表（一个项目支出一张表）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t>附件2-1</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出名称</w:t>
            </w:r>
          </w:p>
        </w:tc>
        <w:tc>
          <w:tcPr>
            <w:tcW w:w="8771" w:type="dxa"/>
            <w:gridSpan w:val="8"/>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253"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r>
              <w:rPr>
                <w:rFonts w:hint="eastAsia" w:ascii="仿宋" w:hAnsi="仿宋" w:eastAsia="仿宋" w:cs="仿宋"/>
                <w:color w:val="000000"/>
                <w:kern w:val="0"/>
                <w:sz w:val="20"/>
                <w:szCs w:val="20"/>
                <w:lang w:eastAsia="zh-CN"/>
              </w:rPr>
              <w:t>）</w:t>
            </w: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（30分）</w:t>
            </w: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pPr>
        <w:widowControl w:val="0"/>
        <w:kinsoku/>
        <w:autoSpaceDE/>
        <w:autoSpaceDN/>
        <w:adjustRightInd/>
        <w:snapToGrid/>
        <w:spacing w:line="600" w:lineRule="exact"/>
        <w:jc w:val="both"/>
        <w:textAlignment w:val="auto"/>
        <w:rPr>
          <w:rFonts w:hint="default"/>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 </w:t>
      </w:r>
    </w:p>
    <w:sectPr>
      <w:footerReference r:id="rId3"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auto"/>
    <w:pitch w:val="default"/>
    <w:sig w:usb0="00000000" w:usb1="00000000" w:usb2="00000000"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Arial Unicode MS">
    <w:altName w:val="Nimbus Roman No9 L"/>
    <w:panose1 w:val="020B0604020202020204"/>
    <w:charset w:val="86"/>
    <w:family w:val="auto"/>
    <w:pitch w:val="default"/>
    <w:sig w:usb0="00000000" w:usb1="00000000" w:usb2="0000003F" w:usb3="00000000" w:csb0="603F01FF" w:csb1="FFFF0000"/>
  </w:font>
  <w:font w:name="Tahoma">
    <w:altName w:val="Droid Sans"/>
    <w:panose1 w:val="020B0604030504040204"/>
    <w:charset w:val="00"/>
    <w:family w:val="swiss"/>
    <w:pitch w:val="default"/>
    <w:sig w:usb0="00000000" w:usb1="00000000" w:usb2="00000029" w:usb3="00000000" w:csb0="200101FF" w:csb1="2028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Droid Sans">
    <w:panose1 w:val="020B0606030804020204"/>
    <w:charset w:val="00"/>
    <w:family w:val="auto"/>
    <w:pitch w:val="default"/>
    <w:sig w:usb0="E00002EF" w:usb1="4000205B" w:usb2="00000028"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46D316"/>
    <w:multiLevelType w:val="singleLevel"/>
    <w:tmpl w:val="F746D316"/>
    <w:lvl w:ilvl="0" w:tentative="0">
      <w:start w:val="8"/>
      <w:numFmt w:val="chineseCounting"/>
      <w:suff w:val="nothing"/>
      <w:lvlText w:val="%1、"/>
      <w:lvlJc w:val="left"/>
      <w:rPr>
        <w:rFonts w:hint="eastAsia"/>
      </w:rPr>
    </w:lvl>
  </w:abstractNum>
  <w:abstractNum w:abstractNumId="1">
    <w:nsid w:val="289E5B49"/>
    <w:multiLevelType w:val="singleLevel"/>
    <w:tmpl w:val="289E5B49"/>
    <w:lvl w:ilvl="0" w:tentative="0">
      <w:start w:val="4"/>
      <w:numFmt w:val="chineseCounting"/>
      <w:suff w:val="nothing"/>
      <w:lvlText w:val="%1、"/>
      <w:lvlJc w:val="left"/>
      <w:rPr>
        <w:rFonts w:hint="eastAsia"/>
      </w:rPr>
    </w:lvl>
  </w:abstractNum>
  <w:abstractNum w:abstractNumId="2">
    <w:nsid w:val="63A9CAC4"/>
    <w:multiLevelType w:val="singleLevel"/>
    <w:tmpl w:val="63A9CAC4"/>
    <w:lvl w:ilvl="0" w:tentative="0">
      <w:start w:val="2"/>
      <w:numFmt w:val="chineseCounting"/>
      <w:suff w:val="nothing"/>
      <w:lvlText w:val="（%1）"/>
      <w:lvlJc w:val="left"/>
      <w:rPr>
        <w:rFonts w:hint="eastAsia"/>
      </w:rPr>
    </w:lvl>
  </w:abstractNum>
  <w:abstractNum w:abstractNumId="3">
    <w:nsid w:val="773FC55E"/>
    <w:multiLevelType w:val="singleLevel"/>
    <w:tmpl w:val="773FC55E"/>
    <w:lvl w:ilvl="0" w:tentative="0">
      <w:start w:val="2"/>
      <w:numFmt w:val="decimal"/>
      <w:lvlText w:val="%1."/>
      <w:lvlJc w:val="left"/>
      <w:pPr>
        <w:tabs>
          <w:tab w:val="left" w:pos="312"/>
        </w:tabs>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mMjI0OThmZDk3N2Q4MGYxNDk1YWZlMzE3NGRjYWYifQ=="/>
    <w:docVar w:name="KSO_WPS_MARK_KEY" w:val="9920a277-c0c3-43b4-93d3-1636fe398e0b"/>
  </w:docVars>
  <w:rsids>
    <w:rsidRoot w:val="753C4E9B"/>
    <w:rsid w:val="00005402"/>
    <w:rsid w:val="01536274"/>
    <w:rsid w:val="05E95AA6"/>
    <w:rsid w:val="09A84B40"/>
    <w:rsid w:val="0C180A78"/>
    <w:rsid w:val="0D276746"/>
    <w:rsid w:val="0D464D9C"/>
    <w:rsid w:val="0DD52794"/>
    <w:rsid w:val="0E440BB0"/>
    <w:rsid w:val="0E956870"/>
    <w:rsid w:val="10C666A5"/>
    <w:rsid w:val="1223366A"/>
    <w:rsid w:val="143877FD"/>
    <w:rsid w:val="18C63896"/>
    <w:rsid w:val="19E805B2"/>
    <w:rsid w:val="1A18361C"/>
    <w:rsid w:val="1FFBA95E"/>
    <w:rsid w:val="22FE234B"/>
    <w:rsid w:val="23183E50"/>
    <w:rsid w:val="24F26C8B"/>
    <w:rsid w:val="274C2B57"/>
    <w:rsid w:val="277E6F02"/>
    <w:rsid w:val="29990575"/>
    <w:rsid w:val="2AF6742D"/>
    <w:rsid w:val="2CF63C91"/>
    <w:rsid w:val="2DFA155F"/>
    <w:rsid w:val="2E833798"/>
    <w:rsid w:val="312A2265"/>
    <w:rsid w:val="33C6369F"/>
    <w:rsid w:val="36127662"/>
    <w:rsid w:val="36FC0F5D"/>
    <w:rsid w:val="375773F8"/>
    <w:rsid w:val="37814AE6"/>
    <w:rsid w:val="384D2BD3"/>
    <w:rsid w:val="393E32BB"/>
    <w:rsid w:val="39E52EA9"/>
    <w:rsid w:val="3AF13CEA"/>
    <w:rsid w:val="3C0B4B35"/>
    <w:rsid w:val="3E962E4E"/>
    <w:rsid w:val="419B2857"/>
    <w:rsid w:val="41D71DA8"/>
    <w:rsid w:val="453F38A4"/>
    <w:rsid w:val="4C6611ED"/>
    <w:rsid w:val="4D2168A6"/>
    <w:rsid w:val="548B440F"/>
    <w:rsid w:val="552A0475"/>
    <w:rsid w:val="578D10CB"/>
    <w:rsid w:val="57CD62E5"/>
    <w:rsid w:val="583354EA"/>
    <w:rsid w:val="58FC5B3E"/>
    <w:rsid w:val="5A5915AC"/>
    <w:rsid w:val="65F94339"/>
    <w:rsid w:val="67876CB8"/>
    <w:rsid w:val="67C73559"/>
    <w:rsid w:val="68273FF7"/>
    <w:rsid w:val="6A12486A"/>
    <w:rsid w:val="708E2E66"/>
    <w:rsid w:val="753C4E9B"/>
    <w:rsid w:val="781113A7"/>
    <w:rsid w:val="791E6510"/>
    <w:rsid w:val="792E168A"/>
    <w:rsid w:val="7A03260F"/>
    <w:rsid w:val="7C8D4A41"/>
    <w:rsid w:val="E8EFC561"/>
    <w:rsid w:val="FBFCA4FD"/>
    <w:rsid w:val="FFE6A7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spacing w:before="102"/>
      <w:ind w:left="112"/>
    </w:pPr>
    <w:rPr>
      <w:sz w:val="28"/>
      <w:szCs w:val="28"/>
    </w:rPr>
  </w:style>
  <w:style w:type="paragraph" w:styleId="4">
    <w:name w:val="Body Text Indent"/>
    <w:basedOn w:val="1"/>
    <w:unhideWhenUsed/>
    <w:qFormat/>
    <w:uiPriority w:val="0"/>
    <w:pPr>
      <w:spacing w:beforeLines="0" w:afterLines="0"/>
      <w:ind w:firstLine="640" w:firstLineChars="200"/>
    </w:pPr>
    <w:rPr>
      <w:rFonts w:hint="default"/>
      <w:sz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4"/>
    <w:unhideWhenUsed/>
    <w:qFormat/>
    <w:uiPriority w:val="99"/>
    <w:pPr>
      <w:spacing w:beforeLines="0" w:afterLines="0"/>
      <w:ind w:firstLine="420"/>
    </w:pPr>
    <w:rPr>
      <w:rFonts w:hint="default"/>
      <w:sz w:val="32"/>
    </w:rPr>
  </w:style>
  <w:style w:type="paragraph" w:customStyle="1" w:styleId="11">
    <w:name w:val="UserStyle_0"/>
    <w:basedOn w:val="1"/>
    <w:qFormat/>
    <w:uiPriority w:val="0"/>
    <w:pPr>
      <w:spacing w:after="120"/>
      <w:jc w:val="both"/>
      <w:textAlignment w:val="baseline"/>
    </w:pPr>
    <w:rPr>
      <w:rFonts w:ascii="Times New Roman" w:hAnsi="Times New Roman" w:eastAsia="宋体" w:cs="Times New Roman"/>
      <w:kern w:val="2"/>
      <w:sz w:val="21"/>
      <w:szCs w:val="22"/>
      <w:lang w:val="en-US" w:eastAsia="zh-CN" w:bidi="ar-SA"/>
    </w:rPr>
  </w:style>
  <w:style w:type="paragraph" w:customStyle="1" w:styleId="12">
    <w:name w:val="标题1"/>
    <w:basedOn w:val="2"/>
    <w:qFormat/>
    <w:uiPriority w:val="0"/>
    <w:rPr>
      <w:rFonts w:eastAsia="黑体"/>
    </w:rPr>
  </w:style>
  <w:style w:type="paragraph" w:customStyle="1" w:styleId="13">
    <w:name w:val="首行缩进"/>
    <w:basedOn w:val="1"/>
    <w:qFormat/>
    <w:uiPriority w:val="0"/>
    <w:pPr>
      <w:ind w:firstLine="480" w:firstLineChars="200"/>
    </w:pPr>
    <w:rPr>
      <w:lang w:val="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9691</Words>
  <Characters>10342</Characters>
  <Lines>0</Lines>
  <Paragraphs>0</Paragraphs>
  <TotalTime>18</TotalTime>
  <ScaleCrop>false</ScaleCrop>
  <LinksUpToDate>false</LinksUpToDate>
  <CharactersWithSpaces>10862</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2024-02-22T10:03:00Z</dcterms:created>
  <dc:creator>1402836399</dc:creator>
  <cp:lastModifiedBy>user</cp:lastModifiedBy>
  <cp:lastPrinted>2024-07-17T08:27:00Z</cp:lastPrinted>
  <dcterms:modified xsi:type="dcterms:W3CDTF">2026-07-07T16:47:10Z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4B545E2748234224AA7888E0D1AE4147_13</vt:lpwstr>
  </property>
</Properties>
</file>