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5"/>
        <w:jc w:val="center"/>
        <w:rPr>
          <w:sz w:val="56"/>
          <w:szCs w:val="56"/>
        </w:rPr>
      </w:pPr>
    </w:p>
    <w:p>
      <w:pPr>
        <w:pStyle w:val="15"/>
        <w:jc w:val="center"/>
        <w:rPr>
          <w:sz w:val="56"/>
          <w:szCs w:val="56"/>
        </w:rPr>
      </w:pPr>
    </w:p>
    <w:p>
      <w:pPr>
        <w:pStyle w:val="15"/>
        <w:jc w:val="center"/>
        <w:rPr>
          <w:sz w:val="84"/>
          <w:szCs w:val="84"/>
        </w:rPr>
      </w:pPr>
    </w:p>
    <w:p>
      <w:pPr>
        <w:pStyle w:val="15"/>
        <w:jc w:val="center"/>
        <w:rPr>
          <w:sz w:val="84"/>
          <w:szCs w:val="84"/>
        </w:rPr>
      </w:pPr>
    </w:p>
    <w:p>
      <w:pPr>
        <w:pStyle w:val="15"/>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4</w:t>
      </w:r>
      <w:r>
        <w:rPr>
          <w:rFonts w:hint="eastAsia" w:ascii="方正小标宋_GBK" w:hAnsi="方正小标宋_GBK" w:eastAsia="方正小标宋_GBK" w:cs="方正小标宋_GBK"/>
          <w:sz w:val="84"/>
          <w:szCs w:val="84"/>
        </w:rPr>
        <w:t>年度</w:t>
      </w:r>
    </w:p>
    <w:p>
      <w:pPr>
        <w:pStyle w:val="15"/>
        <w:jc w:val="center"/>
        <w:rPr>
          <w:rFonts w:hint="eastAsia" w:ascii="方正小标宋_GBK" w:hAnsi="方正小标宋_GBK" w:eastAsia="方正小标宋_GBK" w:cs="方正小标宋_GBK"/>
          <w:sz w:val="84"/>
          <w:szCs w:val="84"/>
          <w:lang w:eastAsia="zh-CN"/>
        </w:rPr>
      </w:pPr>
      <w:r>
        <w:rPr>
          <w:rFonts w:hint="eastAsia" w:ascii="方正小标宋_GBK" w:hAnsi="方正小标宋_GBK" w:eastAsia="方正小标宋_GBK" w:cs="方正小标宋_GBK"/>
          <w:sz w:val="84"/>
          <w:szCs w:val="84"/>
          <w:lang w:eastAsia="zh-CN"/>
        </w:rPr>
        <w:t>怀化市民族宗教事务局</w:t>
      </w:r>
    </w:p>
    <w:p>
      <w:pPr>
        <w:pStyle w:val="15"/>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w:t>
      </w:r>
    </w:p>
    <w:p>
      <w:pPr>
        <w:pStyle w:val="15"/>
        <w:jc w:val="center"/>
        <w:rPr>
          <w:rFonts w:hint="eastAsia" w:ascii="方正小标宋_GBK" w:hAnsi="方正小标宋_GBK" w:eastAsia="方正小标宋_GBK" w:cs="方正小标宋_GBK"/>
          <w:sz w:val="56"/>
          <w:szCs w:val="56"/>
        </w:rPr>
      </w:pPr>
    </w:p>
    <w:p>
      <w:pPr>
        <w:pStyle w:val="15"/>
        <w:jc w:val="center"/>
        <w:rPr>
          <w:sz w:val="56"/>
          <w:szCs w:val="56"/>
        </w:rPr>
      </w:pPr>
    </w:p>
    <w:p>
      <w:pPr>
        <w:pStyle w:val="15"/>
        <w:jc w:val="center"/>
        <w:rPr>
          <w:sz w:val="56"/>
          <w:szCs w:val="56"/>
        </w:rPr>
      </w:pPr>
    </w:p>
    <w:p>
      <w:pPr>
        <w:pStyle w:val="15"/>
        <w:jc w:val="center"/>
        <w:rPr>
          <w:sz w:val="56"/>
          <w:szCs w:val="56"/>
        </w:rPr>
      </w:pPr>
    </w:p>
    <w:p>
      <w:pPr>
        <w:pStyle w:val="15"/>
        <w:jc w:val="center"/>
        <w:rPr>
          <w:sz w:val="32"/>
          <w:szCs w:val="32"/>
        </w:rPr>
      </w:pPr>
    </w:p>
    <w:p>
      <w:pPr>
        <w:pStyle w:val="15"/>
        <w:jc w:val="center"/>
        <w:rPr>
          <w:sz w:val="32"/>
          <w:szCs w:val="32"/>
        </w:rPr>
      </w:pPr>
    </w:p>
    <w:p>
      <w:pPr>
        <w:pStyle w:val="15"/>
        <w:keepNext w:val="0"/>
        <w:keepLines w:val="0"/>
        <w:pageBreakBefore w:val="0"/>
        <w:widowControl w:val="0"/>
        <w:kinsoku/>
        <w:wordWrap/>
        <w:overflowPunct/>
        <w:topLinePunct w:val="0"/>
        <w:bidi w:val="0"/>
        <w:snapToGrid/>
        <w:spacing w:line="600" w:lineRule="exact"/>
        <w:jc w:val="center"/>
        <w:textAlignment w:val="auto"/>
        <w:rPr>
          <w:b/>
          <w:sz w:val="36"/>
          <w:szCs w:val="28"/>
        </w:rPr>
      </w:pPr>
      <w:r>
        <w:rPr>
          <w:rFonts w:hint="eastAsia"/>
          <w:b/>
          <w:sz w:val="36"/>
          <w:szCs w:val="28"/>
        </w:rPr>
        <w:t>目</w:t>
      </w:r>
      <w:r>
        <w:rPr>
          <w:rFonts w:hint="eastAsia"/>
          <w:b/>
          <w:sz w:val="36"/>
          <w:szCs w:val="28"/>
          <w:lang w:val="en-US" w:eastAsia="zh-CN"/>
        </w:rPr>
        <w:t xml:space="preserve">  </w:t>
      </w:r>
      <w:r>
        <w:rPr>
          <w:rFonts w:hint="eastAsia"/>
          <w:b/>
          <w:sz w:val="36"/>
          <w:szCs w:val="28"/>
        </w:rPr>
        <w:t>录</w:t>
      </w:r>
    </w:p>
    <w:p>
      <w:pPr>
        <w:pStyle w:val="15"/>
        <w:keepNext w:val="0"/>
        <w:keepLines w:val="0"/>
        <w:pageBreakBefore w:val="0"/>
        <w:widowControl w:val="0"/>
        <w:kinsoku/>
        <w:wordWrap/>
        <w:overflowPunct/>
        <w:topLinePunct w:val="0"/>
        <w:bidi w:val="0"/>
        <w:snapToGrid/>
        <w:spacing w:line="600" w:lineRule="exact"/>
        <w:textAlignment w:val="auto"/>
        <w:rPr>
          <w:rFonts w:hint="eastAsia" w:ascii="黑体" w:hAnsi="黑体" w:eastAsia="黑体" w:cs="黑体"/>
          <w:b w:val="0"/>
          <w:bCs/>
          <w:sz w:val="28"/>
          <w:szCs w:val="28"/>
        </w:rPr>
      </w:pPr>
    </w:p>
    <w:p>
      <w:pPr>
        <w:pStyle w:val="15"/>
        <w:keepNext w:val="0"/>
        <w:keepLines w:val="0"/>
        <w:pageBreakBefore w:val="0"/>
        <w:widowControl w:val="0"/>
        <w:kinsoku/>
        <w:wordWrap/>
        <w:overflowPunct/>
        <w:topLinePunct w:val="0"/>
        <w:bidi w:val="0"/>
        <w:snapToGrid/>
        <w:spacing w:line="600" w:lineRule="exact"/>
        <w:textAlignment w:val="auto"/>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val="en-US" w:eastAsia="zh-CN"/>
        </w:rPr>
        <w:t>怀化市民族宗教事务局</w:t>
      </w:r>
      <w:r>
        <w:rPr>
          <w:rFonts w:hint="eastAsia" w:ascii="黑体" w:hAnsi="黑体" w:eastAsia="黑体" w:cs="黑体"/>
          <w:b w:val="0"/>
          <w:bCs/>
          <w:sz w:val="28"/>
          <w:szCs w:val="28"/>
        </w:rPr>
        <w:t>概况</w:t>
      </w:r>
    </w:p>
    <w:p>
      <w:pPr>
        <w:pStyle w:val="15"/>
        <w:keepNext w:val="0"/>
        <w:keepLines w:val="0"/>
        <w:pageBreakBefore w:val="0"/>
        <w:widowControl w:val="0"/>
        <w:kinsoku/>
        <w:wordWrap/>
        <w:overflowPunct/>
        <w:topLinePunct w:val="0"/>
        <w:bidi w:val="0"/>
        <w:snapToGrid/>
        <w:spacing w:line="60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pPr>
        <w:pStyle w:val="15"/>
        <w:keepNext w:val="0"/>
        <w:keepLines w:val="0"/>
        <w:pageBreakBefore w:val="0"/>
        <w:widowControl w:val="0"/>
        <w:kinsoku/>
        <w:wordWrap/>
        <w:overflowPunct/>
        <w:topLinePunct w:val="0"/>
        <w:bidi w:val="0"/>
        <w:snapToGrid/>
        <w:spacing w:line="60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pPr>
        <w:pStyle w:val="15"/>
        <w:keepNext w:val="0"/>
        <w:keepLines w:val="0"/>
        <w:pageBreakBefore w:val="0"/>
        <w:widowControl w:val="0"/>
        <w:kinsoku/>
        <w:wordWrap/>
        <w:overflowPunct/>
        <w:topLinePunct w:val="0"/>
        <w:bidi w:val="0"/>
        <w:snapToGrid/>
        <w:spacing w:line="600" w:lineRule="exact"/>
        <w:textAlignment w:val="auto"/>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pPr>
        <w:pStyle w:val="15"/>
        <w:keepNext w:val="0"/>
        <w:keepLines w:val="0"/>
        <w:pageBreakBefore w:val="0"/>
        <w:widowControl w:val="0"/>
        <w:kinsoku/>
        <w:wordWrap/>
        <w:overflowPunct/>
        <w:topLinePunct w:val="0"/>
        <w:bidi w:val="0"/>
        <w:snapToGrid/>
        <w:spacing w:line="60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pPr>
        <w:pStyle w:val="15"/>
        <w:keepNext w:val="0"/>
        <w:keepLines w:val="0"/>
        <w:pageBreakBefore w:val="0"/>
        <w:widowControl w:val="0"/>
        <w:kinsoku/>
        <w:wordWrap/>
        <w:overflowPunct/>
        <w:topLinePunct w:val="0"/>
        <w:bidi w:val="0"/>
        <w:snapToGrid/>
        <w:spacing w:line="60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pPr>
        <w:pStyle w:val="15"/>
        <w:keepNext w:val="0"/>
        <w:keepLines w:val="0"/>
        <w:pageBreakBefore w:val="0"/>
        <w:widowControl w:val="0"/>
        <w:kinsoku/>
        <w:wordWrap/>
        <w:overflowPunct/>
        <w:topLinePunct w:val="0"/>
        <w:bidi w:val="0"/>
        <w:snapToGrid/>
        <w:spacing w:line="60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pPr>
        <w:pStyle w:val="15"/>
        <w:keepNext w:val="0"/>
        <w:keepLines w:val="0"/>
        <w:pageBreakBefore w:val="0"/>
        <w:widowControl w:val="0"/>
        <w:kinsoku/>
        <w:wordWrap/>
        <w:overflowPunct/>
        <w:topLinePunct w:val="0"/>
        <w:bidi w:val="0"/>
        <w:snapToGrid/>
        <w:spacing w:line="60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pPr>
        <w:pStyle w:val="15"/>
        <w:keepNext w:val="0"/>
        <w:keepLines w:val="0"/>
        <w:pageBreakBefore w:val="0"/>
        <w:widowControl w:val="0"/>
        <w:kinsoku/>
        <w:wordWrap/>
        <w:overflowPunct/>
        <w:topLinePunct w:val="0"/>
        <w:bidi w:val="0"/>
        <w:snapToGrid/>
        <w:spacing w:line="60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w:t>
      </w:r>
      <w:r>
        <w:rPr>
          <w:rFonts w:hint="eastAsia" w:ascii="仿宋_GB2312" w:hAnsi="仿宋_GB2312" w:eastAsia="仿宋_GB2312" w:cs="仿宋_GB2312"/>
          <w:sz w:val="28"/>
          <w:szCs w:val="28"/>
          <w:lang w:eastAsia="zh-CN"/>
        </w:rPr>
        <w:t>收入</w:t>
      </w:r>
      <w:r>
        <w:rPr>
          <w:rFonts w:hint="eastAsia" w:ascii="仿宋_GB2312" w:hAnsi="仿宋_GB2312" w:eastAsia="仿宋_GB2312" w:cs="仿宋_GB2312"/>
          <w:sz w:val="28"/>
          <w:szCs w:val="28"/>
        </w:rPr>
        <w:t>支出决算表</w:t>
      </w:r>
    </w:p>
    <w:p>
      <w:pPr>
        <w:pStyle w:val="15"/>
        <w:keepNext w:val="0"/>
        <w:keepLines w:val="0"/>
        <w:pageBreakBefore w:val="0"/>
        <w:widowControl w:val="0"/>
        <w:kinsoku/>
        <w:wordWrap/>
        <w:overflowPunct/>
        <w:topLinePunct w:val="0"/>
        <w:bidi w:val="0"/>
        <w:snapToGrid/>
        <w:spacing w:line="60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pPr>
        <w:pStyle w:val="15"/>
        <w:keepNext w:val="0"/>
        <w:keepLines w:val="0"/>
        <w:pageBreakBefore w:val="0"/>
        <w:widowControl w:val="0"/>
        <w:kinsoku/>
        <w:wordWrap/>
        <w:overflowPunct/>
        <w:topLinePunct w:val="0"/>
        <w:bidi w:val="0"/>
        <w:snapToGrid/>
        <w:spacing w:line="60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pPr>
        <w:pStyle w:val="15"/>
        <w:keepNext w:val="0"/>
        <w:keepLines w:val="0"/>
        <w:pageBreakBefore w:val="0"/>
        <w:widowControl w:val="0"/>
        <w:kinsoku/>
        <w:wordWrap/>
        <w:overflowPunct/>
        <w:topLinePunct w:val="0"/>
        <w:bidi w:val="0"/>
        <w:snapToGrid/>
        <w:spacing w:line="60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pPr>
        <w:pStyle w:val="15"/>
        <w:keepNext w:val="0"/>
        <w:keepLines w:val="0"/>
        <w:pageBreakBefore w:val="0"/>
        <w:widowControl w:val="0"/>
        <w:kinsoku/>
        <w:wordWrap/>
        <w:overflowPunct/>
        <w:topLinePunct w:val="0"/>
        <w:bidi w:val="0"/>
        <w:snapToGrid/>
        <w:spacing w:line="60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pPr>
        <w:pStyle w:val="15"/>
        <w:keepNext w:val="0"/>
        <w:keepLines w:val="0"/>
        <w:pageBreakBefore w:val="0"/>
        <w:widowControl w:val="0"/>
        <w:kinsoku/>
        <w:wordWrap/>
        <w:overflowPunct/>
        <w:topLinePunct w:val="0"/>
        <w:bidi w:val="0"/>
        <w:snapToGrid/>
        <w:spacing w:line="600" w:lineRule="exact"/>
        <w:textAlignment w:val="auto"/>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pPr>
        <w:pStyle w:val="15"/>
        <w:keepNext w:val="0"/>
        <w:keepLines w:val="0"/>
        <w:pageBreakBefore w:val="0"/>
        <w:widowControl w:val="0"/>
        <w:kinsoku/>
        <w:wordWrap/>
        <w:overflowPunct/>
        <w:topLinePunct w:val="0"/>
        <w:bidi w:val="0"/>
        <w:snapToGrid/>
        <w:spacing w:line="60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pPr>
        <w:keepNext w:val="0"/>
        <w:keepLines w:val="0"/>
        <w:pageBreakBefore w:val="0"/>
        <w:widowControl w:val="0"/>
        <w:kinsoku/>
        <w:wordWrap/>
        <w:overflowPunct/>
        <w:topLinePunct w:val="0"/>
        <w:bidi w:val="0"/>
        <w:snapToGrid/>
        <w:spacing w:line="600" w:lineRule="exact"/>
        <w:ind w:firstLine="700" w:firstLineChars="25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pPr>
        <w:keepNext w:val="0"/>
        <w:keepLines w:val="0"/>
        <w:pageBreakBefore w:val="0"/>
        <w:widowControl w:val="0"/>
        <w:kinsoku/>
        <w:wordWrap/>
        <w:overflowPunct/>
        <w:topLinePunct w:val="0"/>
        <w:autoSpaceDE w:val="0"/>
        <w:autoSpaceDN w:val="0"/>
        <w:bidi w:val="0"/>
        <w:adjustRightInd w:val="0"/>
        <w:snapToGrid/>
        <w:spacing w:line="60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pPr>
        <w:keepNext w:val="0"/>
        <w:keepLines w:val="0"/>
        <w:pageBreakBefore w:val="0"/>
        <w:widowControl w:val="0"/>
        <w:kinsoku/>
        <w:wordWrap/>
        <w:overflowPunct/>
        <w:topLinePunct w:val="0"/>
        <w:autoSpaceDE w:val="0"/>
        <w:autoSpaceDN w:val="0"/>
        <w:bidi w:val="0"/>
        <w:adjustRightInd w:val="0"/>
        <w:snapToGrid/>
        <w:spacing w:line="60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pPr>
        <w:keepNext w:val="0"/>
        <w:keepLines w:val="0"/>
        <w:pageBreakBefore w:val="0"/>
        <w:widowControl w:val="0"/>
        <w:kinsoku/>
        <w:wordWrap/>
        <w:overflowPunct/>
        <w:topLinePunct w:val="0"/>
        <w:autoSpaceDE w:val="0"/>
        <w:autoSpaceDN w:val="0"/>
        <w:bidi w:val="0"/>
        <w:adjustRightInd w:val="0"/>
        <w:snapToGrid/>
        <w:spacing w:line="60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pPr>
        <w:keepNext w:val="0"/>
        <w:keepLines w:val="0"/>
        <w:pageBreakBefore w:val="0"/>
        <w:widowControl w:val="0"/>
        <w:kinsoku/>
        <w:wordWrap/>
        <w:overflowPunct/>
        <w:topLinePunct w:val="0"/>
        <w:autoSpaceDE w:val="0"/>
        <w:autoSpaceDN w:val="0"/>
        <w:bidi w:val="0"/>
        <w:adjustRightInd w:val="0"/>
        <w:snapToGrid/>
        <w:spacing w:line="60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pPr>
        <w:keepNext w:val="0"/>
        <w:keepLines w:val="0"/>
        <w:pageBreakBefore w:val="0"/>
        <w:widowControl w:val="0"/>
        <w:kinsoku/>
        <w:wordWrap/>
        <w:overflowPunct/>
        <w:topLinePunct w:val="0"/>
        <w:autoSpaceDE w:val="0"/>
        <w:autoSpaceDN w:val="0"/>
        <w:bidi w:val="0"/>
        <w:adjustRightInd w:val="0"/>
        <w:snapToGrid/>
        <w:spacing w:line="60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七、财政拨款三公经费支出决算情况说明</w:t>
      </w:r>
    </w:p>
    <w:p>
      <w:pPr>
        <w:keepNext w:val="0"/>
        <w:keepLines w:val="0"/>
        <w:pageBreakBefore w:val="0"/>
        <w:widowControl w:val="0"/>
        <w:kinsoku/>
        <w:wordWrap/>
        <w:overflowPunct/>
        <w:topLinePunct w:val="0"/>
        <w:autoSpaceDE w:val="0"/>
        <w:autoSpaceDN w:val="0"/>
        <w:bidi w:val="0"/>
        <w:adjustRightInd w:val="0"/>
        <w:snapToGrid/>
        <w:spacing w:line="60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pPr>
        <w:keepNext w:val="0"/>
        <w:keepLines w:val="0"/>
        <w:pageBreakBefore w:val="0"/>
        <w:widowControl w:val="0"/>
        <w:kinsoku/>
        <w:wordWrap/>
        <w:overflowPunct/>
        <w:topLinePunct w:val="0"/>
        <w:autoSpaceDE w:val="0"/>
        <w:autoSpaceDN w:val="0"/>
        <w:bidi w:val="0"/>
        <w:adjustRightInd w:val="0"/>
        <w:snapToGrid/>
        <w:spacing w:line="600" w:lineRule="exact"/>
        <w:ind w:firstLine="700" w:firstLineChars="250"/>
        <w:jc w:val="left"/>
        <w:textAlignment w:val="auto"/>
        <w:rPr>
          <w:rFonts w:hint="eastAsia" w:ascii="仿宋_GB2312" w:hAnsi="仿宋_GB2312" w:eastAsia="仿宋_GB2312" w:cs="仿宋_GB2312"/>
          <w:b w:val="0"/>
          <w:color w:val="000000"/>
          <w:kern w:val="0"/>
          <w:sz w:val="28"/>
          <w:szCs w:val="28"/>
          <w:lang w:val="en-US" w:eastAsia="zh-CN" w:bidi="ar-SA"/>
        </w:rPr>
      </w:pPr>
      <w:r>
        <w:rPr>
          <w:rFonts w:hint="eastAsia" w:ascii="仿宋_GB2312" w:hAnsi="仿宋_GB2312" w:eastAsia="仿宋_GB2312" w:cs="仿宋_GB2312"/>
          <w:b w:val="0"/>
          <w:color w:val="000000"/>
          <w:kern w:val="0"/>
          <w:sz w:val="28"/>
          <w:szCs w:val="28"/>
          <w:lang w:val="en-US" w:eastAsia="zh-CN" w:bidi="ar-SA"/>
        </w:rPr>
        <w:t>九、国有资本经营预算财政拨款收入支出决算情况说明</w:t>
      </w:r>
    </w:p>
    <w:p>
      <w:pPr>
        <w:keepNext w:val="0"/>
        <w:keepLines w:val="0"/>
        <w:pageBreakBefore w:val="0"/>
        <w:widowControl w:val="0"/>
        <w:kinsoku/>
        <w:wordWrap/>
        <w:overflowPunct/>
        <w:topLinePunct w:val="0"/>
        <w:autoSpaceDE w:val="0"/>
        <w:autoSpaceDN w:val="0"/>
        <w:bidi w:val="0"/>
        <w:adjustRightInd w:val="0"/>
        <w:snapToGrid/>
        <w:spacing w:line="60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eastAsia="zh-CN"/>
        </w:rPr>
        <w:t>十</w:t>
      </w:r>
      <w:r>
        <w:rPr>
          <w:rFonts w:hint="eastAsia" w:ascii="仿宋_GB2312" w:hAnsi="仿宋_GB2312" w:eastAsia="仿宋_GB2312" w:cs="仿宋_GB2312"/>
          <w:color w:val="000000"/>
          <w:kern w:val="0"/>
          <w:sz w:val="28"/>
          <w:szCs w:val="28"/>
        </w:rPr>
        <w:t>、关于机关运行经费支出说明</w:t>
      </w:r>
    </w:p>
    <w:p>
      <w:pPr>
        <w:keepNext w:val="0"/>
        <w:keepLines w:val="0"/>
        <w:pageBreakBefore w:val="0"/>
        <w:widowControl w:val="0"/>
        <w:kinsoku/>
        <w:wordWrap/>
        <w:overflowPunct/>
        <w:topLinePunct w:val="0"/>
        <w:autoSpaceDE w:val="0"/>
        <w:autoSpaceDN w:val="0"/>
        <w:bidi w:val="0"/>
        <w:adjustRightInd w:val="0"/>
        <w:snapToGrid/>
        <w:spacing w:line="60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eastAsia="zh-CN"/>
        </w:rPr>
        <w:t>一</w:t>
      </w:r>
      <w:r>
        <w:rPr>
          <w:rFonts w:hint="eastAsia" w:ascii="仿宋_GB2312" w:hAnsi="仿宋_GB2312" w:eastAsia="仿宋_GB2312" w:cs="仿宋_GB2312"/>
          <w:color w:val="000000"/>
          <w:kern w:val="0"/>
          <w:sz w:val="28"/>
          <w:szCs w:val="28"/>
        </w:rPr>
        <w:t>、一般性支出情况说明</w:t>
      </w:r>
    </w:p>
    <w:p>
      <w:pPr>
        <w:keepNext w:val="0"/>
        <w:keepLines w:val="0"/>
        <w:pageBreakBefore w:val="0"/>
        <w:widowControl w:val="0"/>
        <w:kinsoku/>
        <w:wordWrap/>
        <w:overflowPunct/>
        <w:topLinePunct w:val="0"/>
        <w:autoSpaceDE w:val="0"/>
        <w:autoSpaceDN w:val="0"/>
        <w:bidi w:val="0"/>
        <w:adjustRightInd w:val="0"/>
        <w:snapToGrid/>
        <w:spacing w:line="60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eastAsia="zh-CN"/>
        </w:rPr>
        <w:t>二</w:t>
      </w:r>
      <w:r>
        <w:rPr>
          <w:rFonts w:hint="eastAsia" w:ascii="仿宋_GB2312" w:hAnsi="仿宋_GB2312" w:eastAsia="仿宋_GB2312" w:cs="仿宋_GB2312"/>
          <w:color w:val="000000"/>
          <w:kern w:val="0"/>
          <w:sz w:val="28"/>
          <w:szCs w:val="28"/>
        </w:rPr>
        <w:t>、关于政府采购支出说明</w:t>
      </w:r>
    </w:p>
    <w:p>
      <w:pPr>
        <w:pStyle w:val="15"/>
        <w:keepNext w:val="0"/>
        <w:keepLines w:val="0"/>
        <w:pageBreakBefore w:val="0"/>
        <w:widowControl w:val="0"/>
        <w:kinsoku/>
        <w:wordWrap/>
        <w:overflowPunct/>
        <w:topLinePunct w:val="0"/>
        <w:bidi w:val="0"/>
        <w:snapToGrid/>
        <w:spacing w:line="60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eastAsia="zh-CN"/>
        </w:rPr>
        <w:t>三</w:t>
      </w:r>
      <w:r>
        <w:rPr>
          <w:rFonts w:hint="eastAsia" w:ascii="仿宋_GB2312" w:hAnsi="仿宋_GB2312" w:eastAsia="仿宋_GB2312" w:cs="仿宋_GB2312"/>
          <w:sz w:val="28"/>
          <w:szCs w:val="28"/>
        </w:rPr>
        <w:t>、关于国有资产占用情况说明</w:t>
      </w:r>
    </w:p>
    <w:p>
      <w:pPr>
        <w:pStyle w:val="15"/>
        <w:keepNext w:val="0"/>
        <w:keepLines w:val="0"/>
        <w:pageBreakBefore w:val="0"/>
        <w:widowControl w:val="0"/>
        <w:kinsoku/>
        <w:wordWrap/>
        <w:overflowPunct/>
        <w:topLinePunct w:val="0"/>
        <w:bidi w:val="0"/>
        <w:snapToGrid/>
        <w:spacing w:line="60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eastAsia="zh-CN"/>
        </w:rPr>
        <w:t>四</w:t>
      </w:r>
      <w:r>
        <w:rPr>
          <w:rFonts w:hint="eastAsia" w:ascii="仿宋_GB2312" w:hAnsi="仿宋_GB2312" w:eastAsia="仿宋_GB2312" w:cs="仿宋_GB2312"/>
          <w:sz w:val="28"/>
          <w:szCs w:val="28"/>
        </w:rPr>
        <w:t>、关于</w:t>
      </w:r>
      <w:r>
        <w:rPr>
          <w:rFonts w:hint="default" w:ascii="Times New Roman" w:hAnsi="Times New Roman" w:eastAsia="仿宋_GB2312" w:cs="Times New Roman"/>
          <w:sz w:val="28"/>
          <w:szCs w:val="28"/>
        </w:rPr>
        <w:t>202</w:t>
      </w:r>
      <w:r>
        <w:rPr>
          <w:rFonts w:hint="eastAsia" w:ascii="Times New Roman" w:hAnsi="Times New Roman" w:eastAsia="仿宋_GB2312" w:cs="Times New Roman"/>
          <w:sz w:val="28"/>
          <w:szCs w:val="28"/>
          <w:lang w:val="en-US" w:eastAsia="zh-CN"/>
        </w:rPr>
        <w:t>4</w:t>
      </w:r>
      <w:r>
        <w:rPr>
          <w:rFonts w:hint="eastAsia" w:ascii="仿宋_GB2312" w:hAnsi="仿宋_GB2312" w:eastAsia="仿宋_GB2312" w:cs="仿宋_GB2312"/>
          <w:sz w:val="28"/>
          <w:szCs w:val="28"/>
        </w:rPr>
        <w:t>年度</w:t>
      </w:r>
      <w:r>
        <w:rPr>
          <w:rFonts w:hint="eastAsia" w:ascii="仿宋_GB2312" w:hAnsi="仿宋_GB2312" w:eastAsia="仿宋_GB2312" w:cs="仿宋_GB2312"/>
          <w:sz w:val="28"/>
          <w:szCs w:val="28"/>
          <w:lang w:eastAsia="zh-CN"/>
        </w:rPr>
        <w:t>预算</w:t>
      </w:r>
      <w:r>
        <w:rPr>
          <w:rFonts w:hint="eastAsia" w:ascii="仿宋_GB2312" w:hAnsi="仿宋_GB2312" w:eastAsia="仿宋_GB2312" w:cs="仿宋_GB2312"/>
          <w:sz w:val="28"/>
          <w:szCs w:val="28"/>
        </w:rPr>
        <w:t>绩效情况的说明</w:t>
      </w:r>
    </w:p>
    <w:p>
      <w:pPr>
        <w:pStyle w:val="15"/>
        <w:keepNext w:val="0"/>
        <w:keepLines w:val="0"/>
        <w:pageBreakBefore w:val="0"/>
        <w:widowControl w:val="0"/>
        <w:kinsoku/>
        <w:wordWrap/>
        <w:overflowPunct/>
        <w:topLinePunct w:val="0"/>
        <w:bidi w:val="0"/>
        <w:snapToGrid/>
        <w:spacing w:line="600" w:lineRule="exact"/>
        <w:ind w:firstLine="560" w:firstLineChars="200"/>
        <w:textAlignment w:val="auto"/>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pPr>
        <w:pStyle w:val="15"/>
        <w:keepNext w:val="0"/>
        <w:keepLines w:val="0"/>
        <w:pageBreakBefore w:val="0"/>
        <w:widowControl w:val="0"/>
        <w:kinsoku/>
        <w:wordWrap/>
        <w:overflowPunct/>
        <w:topLinePunct w:val="0"/>
        <w:bidi w:val="0"/>
        <w:snapToGrid/>
        <w:spacing w:line="600" w:lineRule="exact"/>
        <w:ind w:firstLine="560" w:firstLineChars="200"/>
        <w:textAlignment w:val="auto"/>
        <w:rPr>
          <w:rFonts w:hint="eastAsia" w:ascii="黑体" w:hAnsi="黑体" w:eastAsia="黑体" w:cs="黑体"/>
          <w:b w:val="0"/>
          <w:bCs/>
          <w:sz w:val="28"/>
          <w:szCs w:val="28"/>
          <w:lang w:eastAsia="zh-CN"/>
        </w:rPr>
      </w:pPr>
      <w:r>
        <w:rPr>
          <w:rFonts w:hint="eastAsia" w:ascii="黑体" w:hAnsi="黑体" w:eastAsia="黑体" w:cs="黑体"/>
          <w:b w:val="0"/>
          <w:bCs/>
          <w:sz w:val="28"/>
          <w:szCs w:val="28"/>
        </w:rPr>
        <w:t>第</w:t>
      </w:r>
      <w:r>
        <w:rPr>
          <w:rFonts w:hint="eastAsia" w:hAnsi="黑体" w:cs="黑体"/>
          <w:b w:val="0"/>
          <w:bCs/>
          <w:sz w:val="28"/>
          <w:szCs w:val="28"/>
          <w:lang w:eastAsia="zh-CN"/>
        </w:rPr>
        <w:t>五</w:t>
      </w:r>
      <w:r>
        <w:rPr>
          <w:rFonts w:hint="eastAsia" w:ascii="黑体" w:hAnsi="黑体" w:eastAsia="黑体" w:cs="黑体"/>
          <w:b w:val="0"/>
          <w:bCs/>
          <w:sz w:val="28"/>
          <w:szCs w:val="28"/>
        </w:rPr>
        <w:t>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附件</w:t>
      </w:r>
    </w:p>
    <w:p>
      <w:pPr>
        <w:pStyle w:val="15"/>
        <w:spacing w:line="500" w:lineRule="exact"/>
        <w:rPr>
          <w:rFonts w:hint="eastAsia" w:ascii="黑体" w:hAnsi="黑体" w:eastAsia="黑体" w:cs="黑体"/>
          <w:b w:val="0"/>
          <w:bCs/>
          <w:sz w:val="28"/>
          <w:szCs w:val="28"/>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rPr>
          <w:rFonts w:hint="eastAsia" w:ascii="方正小标宋_GBK" w:hAnsi="方正小标宋_GBK" w:eastAsia="方正小标宋_GBK" w:cs="方正小标宋_GBK"/>
          <w:sz w:val="72"/>
          <w:szCs w:val="72"/>
        </w:rPr>
      </w:pPr>
    </w:p>
    <w:p>
      <w:pPr>
        <w:pStyle w:val="15"/>
        <w:jc w:val="center"/>
        <w:rPr>
          <w:rFonts w:hint="eastAsia" w:ascii="方正小标宋_GBK" w:hAnsi="方正小标宋_GBK" w:eastAsia="方正小标宋_GBK" w:cs="方正小标宋_GBK"/>
          <w:sz w:val="84"/>
          <w:szCs w:val="84"/>
        </w:rPr>
      </w:pPr>
    </w:p>
    <w:p>
      <w:pPr>
        <w:pStyle w:val="15"/>
        <w:jc w:val="center"/>
        <w:rPr>
          <w:rFonts w:hint="eastAsia" w:ascii="方正小标宋_GBK" w:hAnsi="方正小标宋_GBK" w:eastAsia="方正小标宋_GBK" w:cs="方正小标宋_GBK"/>
          <w:sz w:val="84"/>
          <w:szCs w:val="84"/>
        </w:rPr>
      </w:pPr>
    </w:p>
    <w:p>
      <w:pPr>
        <w:pStyle w:val="15"/>
        <w:jc w:val="center"/>
        <w:rPr>
          <w:rFonts w:hint="eastAsia" w:ascii="方正小标宋_GBK" w:hAnsi="方正小标宋_GBK" w:eastAsia="方正小标宋_GBK" w:cs="方正小标宋_GBK"/>
          <w:sz w:val="84"/>
          <w:szCs w:val="84"/>
        </w:rPr>
      </w:pPr>
    </w:p>
    <w:p>
      <w:pPr>
        <w:pStyle w:val="15"/>
        <w:jc w:val="center"/>
        <w:rPr>
          <w:rFonts w:hint="eastAsia" w:ascii="方正小标宋_GBK" w:hAnsi="方正小标宋_GBK" w:eastAsia="方正小标宋_GBK" w:cs="方正小标宋_GBK"/>
          <w:sz w:val="84"/>
          <w:szCs w:val="84"/>
        </w:rPr>
      </w:pPr>
    </w:p>
    <w:p>
      <w:pPr>
        <w:pStyle w:val="15"/>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pPr>
        <w:pStyle w:val="15"/>
        <w:jc w:val="center"/>
        <w:rPr>
          <w:rFonts w:hint="eastAsia" w:ascii="方正小标宋_GBK" w:hAnsi="方正小标宋_GBK" w:eastAsia="方正小标宋_GBK" w:cs="方正小标宋_GBK"/>
          <w:sz w:val="84"/>
          <w:szCs w:val="84"/>
        </w:rPr>
      </w:pPr>
    </w:p>
    <w:p>
      <w:pPr>
        <w:pStyle w:val="15"/>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eastAsia="zh-CN"/>
        </w:rPr>
        <w:t>怀化市民族宗教事务局</w:t>
      </w:r>
      <w:r>
        <w:rPr>
          <w:rFonts w:hint="eastAsia" w:ascii="方正小标宋_GBK" w:hAnsi="方正小标宋_GBK" w:eastAsia="方正小标宋_GBK" w:cs="方正小标宋_GBK"/>
          <w:sz w:val="84"/>
          <w:szCs w:val="84"/>
        </w:rPr>
        <w:t>概况</w:t>
      </w:r>
    </w:p>
    <w:p>
      <w:pPr>
        <w:jc w:val="center"/>
        <w:rPr>
          <w:rFonts w:hint="eastAsia" w:ascii="方正小标宋_GBK" w:hAnsi="方正小标宋_GBK" w:eastAsia="方正小标宋_GBK" w:cs="方正小标宋_GBK"/>
          <w:sz w:val="72"/>
          <w:szCs w:val="72"/>
        </w:rPr>
      </w:pPr>
    </w:p>
    <w:p>
      <w:pPr>
        <w:jc w:val="center"/>
        <w:rPr>
          <w:rFonts w:hint="eastAsia" w:ascii="方正小标宋_GBK" w:hAnsi="方正小标宋_GBK" w:eastAsia="方正小标宋_GBK" w:cs="方正小标宋_GBK"/>
          <w:sz w:val="72"/>
          <w:szCs w:val="72"/>
        </w:rPr>
      </w:pPr>
    </w:p>
    <w:p>
      <w:pPr>
        <w:jc w:val="center"/>
        <w:rPr>
          <w:sz w:val="72"/>
          <w:szCs w:val="72"/>
        </w:rPr>
      </w:pPr>
    </w:p>
    <w:p>
      <w:pPr>
        <w:jc w:val="center"/>
        <w:rPr>
          <w:sz w:val="72"/>
          <w:szCs w:val="72"/>
        </w:rPr>
      </w:pPr>
    </w:p>
    <w:p>
      <w:pPr>
        <w:pStyle w:val="16"/>
        <w:numPr>
          <w:ilvl w:val="0"/>
          <w:numId w:val="1"/>
        </w:numPr>
        <w:ind w:leftChars="0" w:firstLine="640" w:firstLineChars="20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部门职责</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黑体" w:hAnsi="黑体" w:eastAsia="黑体" w:cs="黑体"/>
          <w:b w:val="0"/>
          <w:bCs w:val="0"/>
          <w:sz w:val="32"/>
          <w:szCs w:val="32"/>
          <w:lang w:val="en-US" w:eastAsia="zh-CN"/>
        </w:rPr>
        <w:t xml:space="preserve">  </w:t>
      </w:r>
      <w:r>
        <w:rPr>
          <w:rFonts w:hint="eastAsia" w:ascii="仿宋_GB2312" w:hAnsi="仿宋_GB2312" w:eastAsia="仿宋_GB2312" w:cs="仿宋_GB2312"/>
          <w:sz w:val="32"/>
          <w:szCs w:val="32"/>
          <w:lang w:val="en-US" w:eastAsia="zh-CN"/>
        </w:rPr>
        <w:t>（一）组织开展全市铸牢中华民族共同体意识、坚持我国宗教中国化方向的民族宗教理论、政策和重大问题的调查研究。研究提出全市铸牢中华民族共同体意识、加强中华民族共同体建设和坚持我国宗教中国化方向、引导宗教与社会主义社会相适应的工作建议。</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（二）协调推动有关部门履行民族宗教工作相关职责，对各地各部门贯彻落实党中央关于民族宗教工作的决策部署和省委、市委关于民族宗教工作的部署要求、民族宗教法律法规开展指导和督促检查。</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起草民族宗教规范性文件。指导、协调民族区域自治法和宗教事务条例的贯彻落实。研究提出推进民族事务治理体系和治理能力现代化、提高宗教事务治理法治化水平的工作建议。联系民族自治县，指导民族自治县法治建设，指导散居少数民族和民族乡工作，依法保障各族群众的合法权益。</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（四）研究提出全市推进中华民族共有精神家园建设的政策建议。参与中华文化符号和中华民族形象建设。协调推动少数民族优秀文化传承保护和创新整合。指导民族古籍的搜集、整理、研究、出版工作。</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（五）研究提出促进各民族交往交流交融的政策建议，组织开展民族领域示范创建工作，协调推动民族地区互嵌式社会结构和社区环境建设工作。</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研究提出推动全市各民族共同走向社会主义现代化的政策建议，促进党的民族政策在经济、文化、社会、生态、安全领域的实施、衔接。参与拟订和实施民族地区和少数民族经济社会发展相关规划，推进民族事务公共服务体系建设，开展民族地区经济社会发展综合评估工作。</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（七）研究提出协调民族关系、宗教关系的政策建议，协调处理民族关系、宗教关系中的重大事项，负责全市民族宗教领域重大风险隐患防范化解工作，维护国家统一、民族团结、社会稳定。</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八）统筹协调全市铸牢中华民族共同体意识、坚持我国宗教中国化方向以及民族宗教政策、法律法规的宣传教育工作。组织协调民族自治地方重大庆典活动和全市性民族文化、体育活动，组织参加全国性、全省性民族文化、体育活动。</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（九）指导所辖县市区民族宗教事务部门依法履行管理职责，防范利用民族宗教进行的非法、违法活动，抵御境外势力利用民族宗教进行的分裂、渗透、破坏活动。配合有关部门做好防范和处理邪教工作。</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（十）组织协调全市民族宗教领域有关对外和对港澳台的交流与合作。参与涉及民族宗教事务的对外宣传工作。</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（十一）依法履行宗教事务管理职责，依法保护公民宗教信仰自由和正常的宗教活动，维护宗教界合法权益，促进宗教关系和谐。依法治理宗教领域的突出问题。</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（十二）指导宗教团体依法依规依章程开展工作，支持宗教团体加强自身建设，推动宗教界加强自我教育。</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三）参与拟订少数民族人才队伍、宗教工作队伍建设规划。联系少数民族干部和代表人士，协助有关部门做好少数民族干部的培养、教育、使用工作。联系宗教界代表人士。协助有关部门开展全市性宗教团体换届工作和宗教界代表人士的推荐安排工作。</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（十四）依照有关法律法规，在职责范围内对本行业、本领域的安全生产工作实施监督管理。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五）依据法律法规以及规定的职能职责，依法开展安全生产行政执法工作，严厉查处违法违规行为；与有关部门建立健全联合监管机制，共同做好相关安全生产工作；指导、督促、检查下级部门和所属单位落实安全生产管理责任，制定和落实安全防范措施。</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（十六）承办市委、市政府交办的其他任务。</w:t>
      </w:r>
    </w:p>
    <w:p>
      <w:pPr>
        <w:pStyle w:val="16"/>
        <w:numPr>
          <w:ilvl w:val="0"/>
          <w:numId w:val="0"/>
        </w:numPr>
        <w:ind w:leftChars="200"/>
        <w:jc w:val="left"/>
        <w:rPr>
          <w:rFonts w:hint="default" w:ascii="黑体" w:hAnsi="黑体" w:eastAsia="黑体" w:cs="黑体"/>
          <w:b w:val="0"/>
          <w:bCs w:val="0"/>
          <w:sz w:val="32"/>
          <w:szCs w:val="32"/>
          <w:lang w:val="en-US" w:eastAsia="zh-CN"/>
        </w:rPr>
      </w:pPr>
    </w:p>
    <w:p>
      <w:pPr>
        <w:keepNext w:val="0"/>
        <w:keepLines w:val="0"/>
        <w:pageBreakBefore w:val="0"/>
        <w:widowControl/>
        <w:kinsoku/>
        <w:wordWrap/>
        <w:overflowPunct/>
        <w:topLinePunct w:val="0"/>
        <w:bidi w:val="0"/>
        <w:snapToGrid/>
        <w:spacing w:line="580" w:lineRule="exact"/>
        <w:ind w:firstLine="640" w:firstLineChars="200"/>
        <w:textAlignment w:val="auto"/>
        <w:rPr>
          <w:rFonts w:ascii="黑体" w:eastAsia="黑体"/>
          <w:bCs/>
          <w:color w:val="auto"/>
          <w:kern w:val="0"/>
          <w:sz w:val="32"/>
          <w:szCs w:val="32"/>
        </w:rPr>
      </w:pPr>
      <w:r>
        <w:rPr>
          <w:rFonts w:hint="eastAsia" w:ascii="黑体" w:eastAsia="黑体"/>
          <w:bCs/>
          <w:color w:val="auto"/>
          <w:kern w:val="0"/>
          <w:sz w:val="32"/>
          <w:szCs w:val="32"/>
        </w:rPr>
        <w:t>二、机构设置及决算单位构成</w:t>
      </w:r>
    </w:p>
    <w:p>
      <w:pPr>
        <w:keepNext w:val="0"/>
        <w:keepLines w:val="0"/>
        <w:pageBreakBefore w:val="0"/>
        <w:kinsoku/>
        <w:wordWrap/>
        <w:overflowPunct/>
        <w:topLinePunct w:val="0"/>
        <w:autoSpaceDE w:val="0"/>
        <w:autoSpaceDN w:val="0"/>
        <w:bidi w:val="0"/>
        <w:adjustRightInd w:val="0"/>
        <w:snapToGrid/>
        <w:spacing w:line="580" w:lineRule="exact"/>
        <w:ind w:firstLine="800" w:firstLineChars="250"/>
        <w:jc w:val="left"/>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（一）内设机构设置。怀化市民族宗教事务局为一级预算单位，内设机构包括：办公室、民族政策法规科（行政审批服务科）、民族文化教育科、民族经济发展科、宗教科、民族研究所。四科一室一所。</w:t>
      </w:r>
    </w:p>
    <w:p>
      <w:pPr>
        <w:keepNext w:val="0"/>
        <w:keepLines w:val="0"/>
        <w:pageBreakBefore w:val="0"/>
        <w:kinsoku/>
        <w:wordWrap/>
        <w:overflowPunct/>
        <w:topLinePunct w:val="0"/>
        <w:autoSpaceDE w:val="0"/>
        <w:autoSpaceDN w:val="0"/>
        <w:bidi w:val="0"/>
        <w:adjustRightInd w:val="0"/>
        <w:snapToGrid/>
        <w:spacing w:line="580" w:lineRule="exact"/>
        <w:ind w:firstLine="800" w:firstLineChars="250"/>
        <w:jc w:val="left"/>
        <w:textAlignment w:val="auto"/>
        <w:rPr>
          <w:rFonts w:hint="eastAsia" w:ascii="仿宋_GB2312" w:hAnsi="仿宋_GB2312" w:eastAsia="仿宋_GB2312" w:cs="仿宋_GB2312"/>
          <w:color w:val="auto"/>
          <w:kern w:val="0"/>
          <w:sz w:val="32"/>
          <w:szCs w:val="32"/>
          <w:lang w:val="en-US"/>
        </w:rPr>
      </w:pPr>
      <w:r>
        <w:rPr>
          <w:rFonts w:hint="eastAsia" w:ascii="仿宋_GB2312" w:hAnsi="仿宋_GB2312" w:eastAsia="仿宋_GB2312" w:cs="仿宋_GB2312"/>
          <w:color w:val="auto"/>
          <w:kern w:val="0"/>
          <w:sz w:val="32"/>
          <w:szCs w:val="32"/>
          <w:lang w:val="en-US" w:eastAsia="zh-CN"/>
        </w:rPr>
        <w:t>（二）决算单位构成。怀化市民族宗教事务局2024年部门决算汇总公开单位构成包括：怀化市民族宗教事务局本级。没有二级单位。</w:t>
      </w:r>
    </w:p>
    <w:p>
      <w:pPr>
        <w:autoSpaceDE w:val="0"/>
        <w:autoSpaceDN w:val="0"/>
        <w:adjustRightInd w:val="0"/>
        <w:spacing w:line="500" w:lineRule="exact"/>
        <w:ind w:firstLine="800" w:firstLineChars="250"/>
        <w:jc w:val="left"/>
        <w:rPr>
          <w:rFonts w:hint="eastAsia" w:ascii="仿宋_GB2312" w:hAnsi="仿宋_GB2312" w:eastAsia="仿宋_GB2312" w:cs="仿宋_GB2312"/>
          <w:color w:val="auto"/>
          <w:kern w:val="0"/>
          <w:sz w:val="32"/>
          <w:szCs w:val="32"/>
        </w:rPr>
      </w:pPr>
    </w:p>
    <w:p>
      <w:pPr>
        <w:jc w:val="center"/>
        <w:rPr>
          <w:rFonts w:ascii="黑体" w:hAnsi="黑体" w:eastAsia="黑体"/>
          <w:color w:val="auto"/>
          <w:sz w:val="32"/>
          <w:szCs w:val="32"/>
        </w:rPr>
      </w:pPr>
    </w:p>
    <w:p>
      <w:pPr>
        <w:jc w:val="center"/>
        <w:rPr>
          <w:rFonts w:ascii="黑体" w:hAnsi="黑体" w:eastAsia="黑体"/>
          <w:color w:val="auto"/>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pStyle w:val="15"/>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pPr>
        <w:pStyle w:val="15"/>
        <w:jc w:val="center"/>
        <w:rPr>
          <w:rFonts w:hint="eastAsia" w:ascii="方正小标宋_GBK" w:hAnsi="方正小标宋_GBK" w:eastAsia="方正小标宋_GBK" w:cs="方正小标宋_GBK"/>
          <w:sz w:val="84"/>
          <w:szCs w:val="84"/>
        </w:rPr>
      </w:pPr>
    </w:p>
    <w:p>
      <w:pPr>
        <w:pStyle w:val="15"/>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left"/>
        <w:rPr>
          <w:sz w:val="32"/>
          <w:szCs w:val="32"/>
        </w:rPr>
      </w:pPr>
    </w:p>
    <w:p>
      <w:pPr>
        <w:jc w:val="left"/>
        <w:rPr>
          <w:rFonts w:asciiTheme="minorEastAsia" w:hAnsiTheme="minorEastAsia"/>
          <w:sz w:val="32"/>
          <w:szCs w:val="32"/>
        </w:rPr>
        <w:sectPr>
          <w:pgSz w:w="11906" w:h="16838"/>
          <w:pgMar w:top="1417" w:right="1417" w:bottom="1417" w:left="1417" w:header="851" w:footer="992" w:gutter="0"/>
          <w:cols w:space="0" w:num="1"/>
          <w:rtlGutter w:val="0"/>
          <w:docGrid w:type="lines" w:linePitch="312" w:charSpace="0"/>
        </w:sectPr>
      </w:pPr>
    </w:p>
    <w:tbl>
      <w:tblPr>
        <w:tblStyle w:val="11"/>
        <w:tblW w:w="14520" w:type="dxa"/>
        <w:tblInd w:w="79" w:type="dxa"/>
        <w:tblLayout w:type="fixed"/>
        <w:tblCellMar>
          <w:top w:w="0" w:type="dxa"/>
          <w:left w:w="0" w:type="dxa"/>
          <w:bottom w:w="0" w:type="dxa"/>
          <w:right w:w="0" w:type="dxa"/>
        </w:tblCellMar>
      </w:tblPr>
      <w:tblGrid>
        <w:gridCol w:w="386"/>
        <w:gridCol w:w="445"/>
        <w:gridCol w:w="2469"/>
        <w:gridCol w:w="2198"/>
        <w:gridCol w:w="1535"/>
        <w:gridCol w:w="1535"/>
        <w:gridCol w:w="1535"/>
        <w:gridCol w:w="1535"/>
        <w:gridCol w:w="1535"/>
        <w:gridCol w:w="1347"/>
      </w:tblGrid>
      <w:tr>
        <w:tblPrEx>
          <w:tblCellMar>
            <w:top w:w="0" w:type="dxa"/>
            <w:left w:w="0" w:type="dxa"/>
            <w:bottom w:w="0" w:type="dxa"/>
            <w:right w:w="0" w:type="dxa"/>
          </w:tblCellMar>
        </w:tblPrEx>
        <w:trPr>
          <w:trHeight w:val="1113" w:hRule="atLeast"/>
        </w:trPr>
        <w:tc>
          <w:tcPr>
            <w:tcW w:w="14520" w:type="dxa"/>
            <w:gridSpan w:val="10"/>
            <w:tcBorders>
              <w:top w:val="nil"/>
              <w:left w:val="nil"/>
              <w:bottom w:val="nil"/>
              <w:right w:val="nil"/>
            </w:tcBorders>
            <w:shd w:val="clear" w:color="auto" w:fill="auto"/>
            <w:noWrap/>
            <w:tcMar>
              <w:top w:w="15" w:type="dxa"/>
              <w:left w:w="15" w:type="dxa"/>
              <w:bottom w:w="0" w:type="dxa"/>
              <w:right w:w="15" w:type="dxa"/>
            </w:tcMar>
            <w:vAlign w:val="center"/>
          </w:tcPr>
          <w:tbl>
            <w:tblPr>
              <w:tblStyle w:val="11"/>
              <w:tblW w:w="1447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474"/>
              <w:gridCol w:w="593"/>
              <w:gridCol w:w="1408"/>
              <w:gridCol w:w="5070"/>
              <w:gridCol w:w="1159"/>
              <w:gridCol w:w="177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14475" w:type="dxa"/>
                  <w:gridSpan w:val="6"/>
                  <w:tcBorders>
                    <w:top w:val="nil"/>
                    <w:left w:val="nil"/>
                    <w:bottom w:val="nil"/>
                    <w:right w:val="nil"/>
                  </w:tcBorders>
                  <w:shd w:val="clear" w:color="auto" w:fill="FFFFFF"/>
                  <w:noWrap/>
                  <w:vAlign w:val="center"/>
                </w:tcPr>
                <w:p>
                  <w:pPr>
                    <w:jc w:val="center"/>
                    <w:rPr>
                      <w:rFonts w:hint="eastAsia" w:ascii="宋体" w:hAnsi="宋体" w:eastAsia="宋体" w:cs="宋体"/>
                      <w:i w:val="0"/>
                      <w:color w:val="000000"/>
                      <w:sz w:val="24"/>
                      <w:szCs w:val="24"/>
                      <w:u w:val="none"/>
                    </w:rPr>
                  </w:pPr>
                  <w:r>
                    <w:rPr>
                      <w:rFonts w:hint="eastAsia" w:ascii="华文中宋" w:hAnsi="华文中宋" w:eastAsia="华文中宋" w:cs="华文中宋"/>
                      <w:i w:val="0"/>
                      <w:color w:val="000000"/>
                      <w:kern w:val="0"/>
                      <w:sz w:val="32"/>
                      <w:szCs w:val="32"/>
                      <w:u w:val="none"/>
                      <w:lang w:val="en-US" w:eastAsia="zh-CN" w:bidi="ar"/>
                    </w:rPr>
                    <w:t>收入支出决算总表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4474" w:type="dxa"/>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593" w:type="dxa"/>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1408" w:type="dxa"/>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5070" w:type="dxa"/>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2930" w:type="dxa"/>
                  <w:gridSpan w:val="2"/>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公开01表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7" w:hRule="atLeast"/>
              </w:trPr>
              <w:tc>
                <w:tcPr>
                  <w:tcW w:w="4474" w:type="dxa"/>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部门：怀化市民族宗教事务局</w:t>
                  </w:r>
                </w:p>
              </w:tc>
              <w:tc>
                <w:tcPr>
                  <w:tcW w:w="593" w:type="dxa"/>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1408" w:type="dxa"/>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5070" w:type="dxa"/>
                  <w:tcBorders>
                    <w:top w:val="nil"/>
                    <w:left w:val="nil"/>
                    <w:bottom w:val="single" w:color="auto" w:sz="4" w:space="0"/>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2930" w:type="dxa"/>
                  <w:gridSpan w:val="2"/>
                  <w:tcBorders>
                    <w:top w:val="nil"/>
                    <w:left w:val="nil"/>
                    <w:bottom w:val="single" w:color="auto" w:sz="4" w:space="0"/>
                    <w:right w:val="nil"/>
                  </w:tcBorders>
                  <w:shd w:val="clear" w:color="auto" w:fill="FFFFFF"/>
                  <w:noWrap/>
                  <w:vAlign w:val="center"/>
                </w:tcPr>
                <w:p>
                  <w:pPr>
                    <w:jc w:val="right"/>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0"/>
                      <w:szCs w:val="20"/>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6475" w:type="dxa"/>
                  <w:gridSpan w:val="3"/>
                  <w:tcBorders>
                    <w:top w:val="single" w:color="000000" w:sz="4" w:space="0"/>
                    <w:left w:val="single" w:color="000000" w:sz="4" w:space="0"/>
                    <w:bottom w:val="single" w:color="000000" w:sz="4" w:space="0"/>
                    <w:right w:val="single" w:color="auto" w:sz="4" w:space="0"/>
                  </w:tcBorders>
                  <w:shd w:val="clear" w:color="auto" w:fill="FFFFFF"/>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收入</w:t>
                  </w:r>
                </w:p>
              </w:tc>
              <w:tc>
                <w:tcPr>
                  <w:tcW w:w="8000" w:type="dxa"/>
                  <w:gridSpan w:val="3"/>
                  <w:tcBorders>
                    <w:top w:val="single" w:color="auto" w:sz="4" w:space="0"/>
                    <w:left w:val="single" w:color="auto" w:sz="4" w:space="0"/>
                    <w:bottom w:val="single" w:color="auto" w:sz="4" w:space="0"/>
                    <w:right w:val="single" w:color="auto" w:sz="4" w:space="0"/>
                  </w:tcBorders>
                  <w:shd w:val="clear" w:color="auto" w:fill="FFFFFF"/>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8" w:hRule="atLeast"/>
              </w:trPr>
              <w:tc>
                <w:tcPr>
                  <w:tcW w:w="44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项    目</w:t>
                  </w:r>
                </w:p>
              </w:tc>
              <w:tc>
                <w:tcPr>
                  <w:tcW w:w="59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行次</w:t>
                  </w:r>
                </w:p>
              </w:tc>
              <w:tc>
                <w:tcPr>
                  <w:tcW w:w="1408" w:type="dxa"/>
                  <w:tcBorders>
                    <w:top w:val="single" w:color="000000" w:sz="4" w:space="0"/>
                    <w:left w:val="single" w:color="000000" w:sz="4" w:space="0"/>
                    <w:bottom w:val="single" w:color="000000" w:sz="4" w:space="0"/>
                    <w:right w:val="single" w:color="auto" w:sz="4" w:space="0"/>
                  </w:tcBorders>
                  <w:shd w:val="clear" w:color="auto" w:fill="FFFFFF"/>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决算数</w:t>
                  </w:r>
                </w:p>
              </w:tc>
              <w:tc>
                <w:tcPr>
                  <w:tcW w:w="5070" w:type="dxa"/>
                  <w:tcBorders>
                    <w:top w:val="single" w:color="auto" w:sz="4" w:space="0"/>
                    <w:left w:val="single" w:color="auto" w:sz="4" w:space="0"/>
                    <w:bottom w:val="single" w:color="auto" w:sz="4" w:space="0"/>
                    <w:right w:val="single" w:color="auto" w:sz="4" w:space="0"/>
                  </w:tcBorders>
                  <w:shd w:val="clear" w:color="auto" w:fill="FFFFFF"/>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项    目</w:t>
                  </w:r>
                </w:p>
              </w:tc>
              <w:tc>
                <w:tcPr>
                  <w:tcW w:w="1159" w:type="dxa"/>
                  <w:tcBorders>
                    <w:top w:val="single" w:color="auto" w:sz="4" w:space="0"/>
                    <w:left w:val="single" w:color="auto" w:sz="4" w:space="0"/>
                    <w:bottom w:val="single" w:color="auto" w:sz="4" w:space="0"/>
                    <w:right w:val="single" w:color="auto" w:sz="4" w:space="0"/>
                  </w:tcBorders>
                  <w:shd w:val="clear" w:color="auto" w:fill="FFFFFF"/>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行次</w:t>
                  </w:r>
                </w:p>
              </w:tc>
              <w:tc>
                <w:tcPr>
                  <w:tcW w:w="1771" w:type="dxa"/>
                  <w:tcBorders>
                    <w:top w:val="single" w:color="auto" w:sz="4" w:space="0"/>
                    <w:left w:val="single" w:color="auto" w:sz="4" w:space="0"/>
                    <w:bottom w:val="single" w:color="auto" w:sz="4" w:space="0"/>
                    <w:right w:val="single" w:color="auto" w:sz="4" w:space="0"/>
                  </w:tcBorders>
                  <w:shd w:val="clear" w:color="auto" w:fill="FFFFFF"/>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栏    次</w:t>
                  </w:r>
                </w:p>
              </w:tc>
              <w:tc>
                <w:tcPr>
                  <w:tcW w:w="59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Theme="minorEastAsia" w:hAnsiTheme="minorEastAsia" w:eastAsiaTheme="minorEastAsia" w:cstheme="minorEastAsia"/>
                      <w:i w:val="0"/>
                      <w:color w:val="000000"/>
                      <w:sz w:val="21"/>
                      <w:szCs w:val="21"/>
                      <w:u w:val="none"/>
                    </w:rPr>
                  </w:pPr>
                </w:p>
              </w:tc>
              <w:tc>
                <w:tcPr>
                  <w:tcW w:w="1408" w:type="dxa"/>
                  <w:tcBorders>
                    <w:top w:val="single" w:color="000000" w:sz="4" w:space="0"/>
                    <w:left w:val="single" w:color="000000" w:sz="4" w:space="0"/>
                    <w:bottom w:val="single" w:color="000000" w:sz="4" w:space="0"/>
                    <w:right w:val="single" w:color="auto" w:sz="4" w:space="0"/>
                  </w:tcBorders>
                  <w:shd w:val="clear" w:color="auto" w:fill="FFFFFF"/>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w:t>
                  </w:r>
                </w:p>
              </w:tc>
              <w:tc>
                <w:tcPr>
                  <w:tcW w:w="5070" w:type="dxa"/>
                  <w:tcBorders>
                    <w:top w:val="single" w:color="auto" w:sz="4" w:space="0"/>
                    <w:left w:val="single" w:color="auto" w:sz="4" w:space="0"/>
                    <w:bottom w:val="single" w:color="auto" w:sz="4" w:space="0"/>
                    <w:right w:val="single" w:color="auto" w:sz="4" w:space="0"/>
                  </w:tcBorders>
                  <w:shd w:val="clear" w:color="auto" w:fill="FFFFFF"/>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栏    次</w:t>
                  </w:r>
                </w:p>
              </w:tc>
              <w:tc>
                <w:tcPr>
                  <w:tcW w:w="1159" w:type="dxa"/>
                  <w:tcBorders>
                    <w:top w:val="single" w:color="auto" w:sz="4" w:space="0"/>
                    <w:left w:val="single" w:color="auto" w:sz="4" w:space="0"/>
                    <w:bottom w:val="single" w:color="auto" w:sz="4" w:space="0"/>
                    <w:right w:val="single" w:color="auto" w:sz="4" w:space="0"/>
                  </w:tcBorders>
                  <w:shd w:val="clear" w:color="auto" w:fill="FFFFFF"/>
                  <w:noWrap/>
                  <w:vAlign w:val="center"/>
                </w:tcPr>
                <w:p>
                  <w:pPr>
                    <w:jc w:val="center"/>
                    <w:rPr>
                      <w:rFonts w:hint="eastAsia" w:asciiTheme="minorEastAsia" w:hAnsiTheme="minorEastAsia" w:eastAsiaTheme="minorEastAsia" w:cstheme="minorEastAsia"/>
                      <w:i w:val="0"/>
                      <w:color w:val="000000"/>
                      <w:sz w:val="21"/>
                      <w:szCs w:val="21"/>
                      <w:u w:val="none"/>
                    </w:rPr>
                  </w:pPr>
                </w:p>
              </w:tc>
              <w:tc>
                <w:tcPr>
                  <w:tcW w:w="1771" w:type="dxa"/>
                  <w:tcBorders>
                    <w:top w:val="single" w:color="auto" w:sz="4" w:space="0"/>
                    <w:left w:val="single" w:color="auto" w:sz="4" w:space="0"/>
                    <w:bottom w:val="single" w:color="auto" w:sz="4" w:space="0"/>
                    <w:right w:val="single" w:color="auto" w:sz="4" w:space="0"/>
                  </w:tcBorders>
                  <w:shd w:val="clear" w:color="auto" w:fill="FFFFFF"/>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一、一般公共预算财政拨款收入</w:t>
                  </w:r>
                </w:p>
              </w:tc>
              <w:tc>
                <w:tcPr>
                  <w:tcW w:w="59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w:t>
                  </w:r>
                </w:p>
              </w:tc>
              <w:tc>
                <w:tcPr>
                  <w:tcW w:w="1408"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jc w:val="right"/>
                    <w:rPr>
                      <w:rFonts w:hint="eastAsia" w:asciiTheme="minorEastAsia" w:hAnsiTheme="minorEastAsia" w:eastAsiaTheme="minorEastAsia" w:cstheme="minorEastAsia"/>
                      <w:i w:val="0"/>
                      <w:color w:val="000000"/>
                      <w:sz w:val="21"/>
                      <w:szCs w:val="21"/>
                      <w:u w:val="none"/>
                      <w:lang w:val="en-US" w:eastAsia="zh-CN"/>
                    </w:rPr>
                  </w:pPr>
                  <w:r>
                    <w:rPr>
                      <w:rFonts w:hint="eastAsia" w:asciiTheme="minorEastAsia" w:hAnsiTheme="minorEastAsia" w:eastAsiaTheme="minorEastAsia" w:cstheme="minorEastAsia"/>
                      <w:i w:val="0"/>
                      <w:color w:val="000000"/>
                      <w:sz w:val="21"/>
                      <w:szCs w:val="21"/>
                      <w:u w:val="none"/>
                      <w:lang w:val="en-US" w:eastAsia="zh-CN"/>
                    </w:rPr>
                    <w:t>954.87</w:t>
                  </w:r>
                </w:p>
              </w:tc>
              <w:tc>
                <w:tcPr>
                  <w:tcW w:w="5070" w:type="dxa"/>
                  <w:tcBorders>
                    <w:top w:val="single" w:color="auto" w:sz="4" w:space="0"/>
                    <w:left w:val="single" w:color="auto" w:sz="4" w:space="0"/>
                    <w:bottom w:val="single" w:color="auto" w:sz="4" w:space="0"/>
                    <w:right w:val="single" w:color="auto" w:sz="4" w:space="0"/>
                  </w:tcBorders>
                  <w:shd w:val="clear" w:color="auto" w:fill="FFFFFF"/>
                  <w:noWrap/>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一、一般公共服务支出</w:t>
                  </w:r>
                </w:p>
              </w:tc>
              <w:tc>
                <w:tcPr>
                  <w:tcW w:w="1159" w:type="dxa"/>
                  <w:tcBorders>
                    <w:top w:val="single" w:color="auto" w:sz="4" w:space="0"/>
                    <w:left w:val="single" w:color="auto" w:sz="4" w:space="0"/>
                    <w:bottom w:val="single" w:color="auto" w:sz="4" w:space="0"/>
                    <w:right w:val="single" w:color="auto" w:sz="4" w:space="0"/>
                  </w:tcBorders>
                  <w:shd w:val="clear" w:color="auto" w:fill="FFFFFF"/>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14</w:t>
                  </w:r>
                </w:p>
              </w:tc>
              <w:tc>
                <w:tcPr>
                  <w:tcW w:w="1771" w:type="dxa"/>
                  <w:tcBorders>
                    <w:top w:val="single" w:color="auto" w:sz="4" w:space="0"/>
                    <w:left w:val="single" w:color="auto" w:sz="4" w:space="0"/>
                    <w:bottom w:val="single" w:color="auto" w:sz="4" w:space="0"/>
                    <w:right w:val="single" w:color="auto" w:sz="4" w:space="0"/>
                  </w:tcBorders>
                  <w:shd w:val="clear" w:color="auto" w:fill="auto"/>
                  <w:noWrap/>
                  <w:vAlign w:val="top"/>
                </w:tcPr>
                <w:p>
                  <w:pPr>
                    <w:jc w:val="right"/>
                    <w:rPr>
                      <w:rFonts w:hint="eastAsia" w:asciiTheme="minorEastAsia" w:hAnsiTheme="minorEastAsia" w:eastAsiaTheme="minorEastAsia" w:cstheme="minorEastAsia"/>
                      <w:i w:val="0"/>
                      <w:color w:val="000000"/>
                      <w:sz w:val="21"/>
                      <w:szCs w:val="21"/>
                      <w:u w:val="none"/>
                      <w:lang w:val="en-US" w:eastAsia="zh-CN"/>
                    </w:rPr>
                  </w:pPr>
                  <w:r>
                    <w:rPr>
                      <w:rFonts w:hint="eastAsia" w:asciiTheme="minorEastAsia" w:hAnsiTheme="minorEastAsia" w:eastAsiaTheme="minorEastAsia" w:cstheme="minorEastAsia"/>
                      <w:i w:val="0"/>
                      <w:color w:val="000000"/>
                      <w:sz w:val="21"/>
                      <w:szCs w:val="21"/>
                      <w:u w:val="none"/>
                      <w:lang w:val="en-US" w:eastAsia="zh-CN"/>
                    </w:rPr>
                    <w:t>842.04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二、政府性基金预算财政拨款收入</w:t>
                  </w:r>
                </w:p>
              </w:tc>
              <w:tc>
                <w:tcPr>
                  <w:tcW w:w="59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w:t>
                  </w:r>
                </w:p>
              </w:tc>
              <w:tc>
                <w:tcPr>
                  <w:tcW w:w="1408"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jc w:val="right"/>
                    <w:rPr>
                      <w:rFonts w:hint="eastAsia" w:asciiTheme="minorEastAsia" w:hAnsiTheme="minorEastAsia" w:eastAsiaTheme="minorEastAsia" w:cstheme="minorEastAsia"/>
                      <w:i w:val="0"/>
                      <w:color w:val="000000"/>
                      <w:sz w:val="21"/>
                      <w:szCs w:val="21"/>
                      <w:u w:val="none"/>
                    </w:rPr>
                  </w:pPr>
                </w:p>
              </w:tc>
              <w:tc>
                <w:tcPr>
                  <w:tcW w:w="5070" w:type="dxa"/>
                  <w:tcBorders>
                    <w:top w:val="single" w:color="auto" w:sz="4" w:space="0"/>
                    <w:left w:val="single" w:color="auto" w:sz="4" w:space="0"/>
                    <w:bottom w:val="single" w:color="auto" w:sz="4" w:space="0"/>
                    <w:right w:val="single" w:color="auto" w:sz="4" w:space="0"/>
                  </w:tcBorders>
                  <w:shd w:val="clear" w:color="auto" w:fill="FFFFFF"/>
                  <w:noWrap/>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二、外交支出</w:t>
                  </w:r>
                </w:p>
              </w:tc>
              <w:tc>
                <w:tcPr>
                  <w:tcW w:w="1159" w:type="dxa"/>
                  <w:tcBorders>
                    <w:top w:val="single" w:color="auto" w:sz="4" w:space="0"/>
                    <w:left w:val="single" w:color="auto" w:sz="4" w:space="0"/>
                    <w:bottom w:val="single" w:color="auto" w:sz="4" w:space="0"/>
                    <w:right w:val="single" w:color="auto" w:sz="4" w:space="0"/>
                  </w:tcBorders>
                  <w:shd w:val="clear" w:color="auto" w:fill="FFFFFF"/>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15</w:t>
                  </w:r>
                </w:p>
              </w:tc>
              <w:tc>
                <w:tcPr>
                  <w:tcW w:w="1771" w:type="dxa"/>
                  <w:tcBorders>
                    <w:top w:val="single" w:color="auto" w:sz="4" w:space="0"/>
                    <w:left w:val="single" w:color="auto" w:sz="4" w:space="0"/>
                    <w:bottom w:val="single" w:color="auto" w:sz="4" w:space="0"/>
                    <w:right w:val="single" w:color="auto" w:sz="4" w:space="0"/>
                  </w:tcBorders>
                  <w:shd w:val="clear" w:color="auto" w:fill="auto"/>
                  <w:noWrap/>
                  <w:vAlign w:val="top"/>
                </w:tcPr>
                <w:p>
                  <w:pPr>
                    <w:jc w:val="right"/>
                    <w:rPr>
                      <w:rFonts w:hint="eastAsia" w:asciiTheme="minorEastAsia" w:hAnsiTheme="minorEastAsia" w:eastAsiaTheme="minorEastAsia" w:cstheme="minorEastAsia"/>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4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三、国有资本经营预算财政拨款收入</w:t>
                  </w:r>
                </w:p>
              </w:tc>
              <w:tc>
                <w:tcPr>
                  <w:tcW w:w="59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w:t>
                  </w:r>
                </w:p>
              </w:tc>
              <w:tc>
                <w:tcPr>
                  <w:tcW w:w="1408"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jc w:val="right"/>
                    <w:rPr>
                      <w:rFonts w:hint="eastAsia" w:asciiTheme="minorEastAsia" w:hAnsiTheme="minorEastAsia" w:eastAsiaTheme="minorEastAsia" w:cstheme="minorEastAsia"/>
                      <w:i w:val="0"/>
                      <w:color w:val="000000"/>
                      <w:sz w:val="21"/>
                      <w:szCs w:val="21"/>
                      <w:u w:val="none"/>
                    </w:rPr>
                  </w:pPr>
                </w:p>
              </w:tc>
              <w:tc>
                <w:tcPr>
                  <w:tcW w:w="5070" w:type="dxa"/>
                  <w:tcBorders>
                    <w:top w:val="single" w:color="auto" w:sz="4" w:space="0"/>
                    <w:left w:val="single" w:color="auto" w:sz="4" w:space="0"/>
                    <w:bottom w:val="single" w:color="auto" w:sz="4" w:space="0"/>
                    <w:right w:val="single" w:color="auto" w:sz="4" w:space="0"/>
                  </w:tcBorders>
                  <w:shd w:val="clear" w:color="auto" w:fill="FFFFFF"/>
                  <w:noWrap/>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三、国防支出</w:t>
                  </w:r>
                </w:p>
              </w:tc>
              <w:tc>
                <w:tcPr>
                  <w:tcW w:w="1159" w:type="dxa"/>
                  <w:tcBorders>
                    <w:top w:val="single" w:color="auto" w:sz="4" w:space="0"/>
                    <w:left w:val="single" w:color="auto" w:sz="4" w:space="0"/>
                    <w:bottom w:val="single" w:color="auto" w:sz="4" w:space="0"/>
                    <w:right w:val="single" w:color="auto" w:sz="4" w:space="0"/>
                  </w:tcBorders>
                  <w:shd w:val="clear" w:color="auto" w:fill="FFFFFF"/>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16</w:t>
                  </w:r>
                </w:p>
              </w:tc>
              <w:tc>
                <w:tcPr>
                  <w:tcW w:w="1771" w:type="dxa"/>
                  <w:tcBorders>
                    <w:top w:val="single" w:color="auto" w:sz="4" w:space="0"/>
                    <w:left w:val="single" w:color="auto" w:sz="4" w:space="0"/>
                    <w:bottom w:val="single" w:color="auto" w:sz="4" w:space="0"/>
                    <w:right w:val="single" w:color="auto" w:sz="4" w:space="0"/>
                  </w:tcBorders>
                  <w:shd w:val="clear" w:color="auto" w:fill="auto"/>
                  <w:noWrap/>
                  <w:vAlign w:val="top"/>
                </w:tcPr>
                <w:p>
                  <w:pPr>
                    <w:jc w:val="right"/>
                    <w:rPr>
                      <w:rFonts w:hint="eastAsia" w:asciiTheme="minorEastAsia" w:hAnsiTheme="minorEastAsia" w:eastAsiaTheme="minorEastAsia" w:cstheme="minorEastAsia"/>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四、上级补助收入</w:t>
                  </w:r>
                </w:p>
              </w:tc>
              <w:tc>
                <w:tcPr>
                  <w:tcW w:w="59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w:t>
                  </w:r>
                </w:p>
              </w:tc>
              <w:tc>
                <w:tcPr>
                  <w:tcW w:w="1408"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jc w:val="right"/>
                    <w:rPr>
                      <w:rFonts w:hint="eastAsia" w:asciiTheme="minorEastAsia" w:hAnsiTheme="minorEastAsia" w:eastAsiaTheme="minorEastAsia" w:cstheme="minorEastAsia"/>
                      <w:i w:val="0"/>
                      <w:color w:val="000000"/>
                      <w:sz w:val="21"/>
                      <w:szCs w:val="21"/>
                      <w:u w:val="none"/>
                    </w:rPr>
                  </w:pPr>
                </w:p>
              </w:tc>
              <w:tc>
                <w:tcPr>
                  <w:tcW w:w="5070" w:type="dxa"/>
                  <w:tcBorders>
                    <w:top w:val="single" w:color="auto" w:sz="4" w:space="0"/>
                    <w:left w:val="single" w:color="auto" w:sz="4" w:space="0"/>
                    <w:bottom w:val="single" w:color="auto" w:sz="4" w:space="0"/>
                    <w:right w:val="single" w:color="auto" w:sz="4" w:space="0"/>
                  </w:tcBorders>
                  <w:shd w:val="clear" w:color="auto" w:fill="FFFFFF"/>
                  <w:noWrap/>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四、公共安全支出</w:t>
                  </w:r>
                </w:p>
              </w:tc>
              <w:tc>
                <w:tcPr>
                  <w:tcW w:w="1159" w:type="dxa"/>
                  <w:tcBorders>
                    <w:top w:val="single" w:color="auto" w:sz="4" w:space="0"/>
                    <w:left w:val="single" w:color="auto" w:sz="4" w:space="0"/>
                    <w:bottom w:val="single" w:color="auto" w:sz="4" w:space="0"/>
                    <w:right w:val="single" w:color="auto" w:sz="4" w:space="0"/>
                  </w:tcBorders>
                  <w:shd w:val="clear" w:color="auto" w:fill="FFFFFF"/>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17</w:t>
                  </w:r>
                </w:p>
              </w:tc>
              <w:tc>
                <w:tcPr>
                  <w:tcW w:w="1771" w:type="dxa"/>
                  <w:tcBorders>
                    <w:top w:val="single" w:color="auto" w:sz="4" w:space="0"/>
                    <w:left w:val="single" w:color="auto" w:sz="4" w:space="0"/>
                    <w:bottom w:val="single" w:color="auto" w:sz="4" w:space="0"/>
                    <w:right w:val="single" w:color="auto" w:sz="4" w:space="0"/>
                  </w:tcBorders>
                  <w:shd w:val="clear" w:color="auto" w:fill="auto"/>
                  <w:noWrap/>
                  <w:vAlign w:val="top"/>
                </w:tcPr>
                <w:p>
                  <w:pPr>
                    <w:jc w:val="right"/>
                    <w:rPr>
                      <w:rFonts w:hint="eastAsia" w:asciiTheme="minorEastAsia" w:hAnsiTheme="minorEastAsia" w:eastAsiaTheme="minorEastAsia" w:cstheme="minorEastAsia"/>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44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五、事业收入</w:t>
                  </w:r>
                </w:p>
              </w:tc>
              <w:tc>
                <w:tcPr>
                  <w:tcW w:w="59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5</w:t>
                  </w:r>
                </w:p>
              </w:tc>
              <w:tc>
                <w:tcPr>
                  <w:tcW w:w="1408"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jc w:val="right"/>
                    <w:rPr>
                      <w:rFonts w:hint="eastAsia" w:asciiTheme="minorEastAsia" w:hAnsiTheme="minorEastAsia" w:eastAsiaTheme="minorEastAsia" w:cstheme="minorEastAsia"/>
                      <w:i w:val="0"/>
                      <w:color w:val="000000"/>
                      <w:sz w:val="21"/>
                      <w:szCs w:val="21"/>
                      <w:u w:val="none"/>
                    </w:rPr>
                  </w:pPr>
                </w:p>
              </w:tc>
              <w:tc>
                <w:tcPr>
                  <w:tcW w:w="5070" w:type="dxa"/>
                  <w:tcBorders>
                    <w:top w:val="single" w:color="auto" w:sz="4" w:space="0"/>
                    <w:left w:val="single" w:color="auto" w:sz="4" w:space="0"/>
                    <w:bottom w:val="single" w:color="auto" w:sz="4" w:space="0"/>
                    <w:right w:val="single" w:color="auto" w:sz="4" w:space="0"/>
                  </w:tcBorders>
                  <w:shd w:val="clear" w:color="auto" w:fill="FFFFFF"/>
                  <w:noWrap/>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五、教育支出</w:t>
                  </w:r>
                </w:p>
              </w:tc>
              <w:tc>
                <w:tcPr>
                  <w:tcW w:w="1159" w:type="dxa"/>
                  <w:tcBorders>
                    <w:top w:val="single" w:color="auto" w:sz="4" w:space="0"/>
                    <w:left w:val="single" w:color="auto" w:sz="4" w:space="0"/>
                    <w:bottom w:val="single" w:color="auto" w:sz="4" w:space="0"/>
                    <w:right w:val="single" w:color="auto" w:sz="4" w:space="0"/>
                  </w:tcBorders>
                  <w:shd w:val="clear" w:color="auto" w:fill="FFFFFF"/>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18</w:t>
                  </w:r>
                </w:p>
              </w:tc>
              <w:tc>
                <w:tcPr>
                  <w:tcW w:w="1771" w:type="dxa"/>
                  <w:tcBorders>
                    <w:top w:val="single" w:color="auto" w:sz="4" w:space="0"/>
                    <w:left w:val="single" w:color="auto" w:sz="4" w:space="0"/>
                    <w:bottom w:val="single" w:color="auto" w:sz="4" w:space="0"/>
                    <w:right w:val="single" w:color="auto" w:sz="4" w:space="0"/>
                  </w:tcBorders>
                  <w:shd w:val="clear" w:color="auto" w:fill="auto"/>
                  <w:noWrap/>
                  <w:vAlign w:val="top"/>
                </w:tcPr>
                <w:p>
                  <w:pPr>
                    <w:jc w:val="right"/>
                    <w:rPr>
                      <w:rFonts w:hint="eastAsia" w:asciiTheme="minorEastAsia" w:hAnsiTheme="minorEastAsia" w:eastAsiaTheme="minorEastAsia" w:cstheme="minorEastAsia"/>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六、经营收入</w:t>
                  </w:r>
                </w:p>
              </w:tc>
              <w:tc>
                <w:tcPr>
                  <w:tcW w:w="59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6</w:t>
                  </w:r>
                </w:p>
              </w:tc>
              <w:tc>
                <w:tcPr>
                  <w:tcW w:w="1408"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jc w:val="right"/>
                    <w:rPr>
                      <w:rFonts w:hint="eastAsia" w:asciiTheme="minorEastAsia" w:hAnsiTheme="minorEastAsia" w:eastAsiaTheme="minorEastAsia" w:cstheme="minorEastAsia"/>
                      <w:i w:val="0"/>
                      <w:color w:val="000000"/>
                      <w:sz w:val="21"/>
                      <w:szCs w:val="21"/>
                      <w:u w:val="none"/>
                    </w:rPr>
                  </w:pPr>
                </w:p>
              </w:tc>
              <w:tc>
                <w:tcPr>
                  <w:tcW w:w="5070" w:type="dxa"/>
                  <w:tcBorders>
                    <w:top w:val="single" w:color="auto" w:sz="4" w:space="0"/>
                    <w:left w:val="single" w:color="auto" w:sz="4" w:space="0"/>
                    <w:bottom w:val="single" w:color="auto" w:sz="4" w:space="0"/>
                    <w:right w:val="single" w:color="auto" w:sz="4" w:space="0"/>
                  </w:tcBorders>
                  <w:shd w:val="clear" w:color="auto" w:fill="FFFFFF"/>
                  <w:noWrap/>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六、科学技术支出</w:t>
                  </w:r>
                </w:p>
              </w:tc>
              <w:tc>
                <w:tcPr>
                  <w:tcW w:w="1159" w:type="dxa"/>
                  <w:tcBorders>
                    <w:top w:val="single" w:color="auto" w:sz="4" w:space="0"/>
                    <w:left w:val="single" w:color="auto" w:sz="4" w:space="0"/>
                    <w:bottom w:val="single" w:color="auto" w:sz="4" w:space="0"/>
                    <w:right w:val="single" w:color="auto" w:sz="4" w:space="0"/>
                  </w:tcBorders>
                  <w:shd w:val="clear" w:color="auto" w:fill="FFFFFF"/>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19</w:t>
                  </w:r>
                </w:p>
              </w:tc>
              <w:tc>
                <w:tcPr>
                  <w:tcW w:w="1771" w:type="dxa"/>
                  <w:tcBorders>
                    <w:top w:val="single" w:color="auto" w:sz="4" w:space="0"/>
                    <w:left w:val="single" w:color="auto" w:sz="4" w:space="0"/>
                    <w:bottom w:val="single" w:color="auto" w:sz="4" w:space="0"/>
                    <w:right w:val="single" w:color="auto" w:sz="4" w:space="0"/>
                  </w:tcBorders>
                  <w:shd w:val="clear" w:color="auto" w:fill="auto"/>
                  <w:noWrap/>
                  <w:vAlign w:val="top"/>
                </w:tcPr>
                <w:p>
                  <w:pPr>
                    <w:jc w:val="right"/>
                    <w:rPr>
                      <w:rFonts w:hint="eastAsia" w:asciiTheme="minorEastAsia" w:hAnsiTheme="minorEastAsia" w:eastAsiaTheme="minorEastAsia" w:cstheme="minorEastAsia"/>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七、附属单位上缴收入</w:t>
                  </w:r>
                </w:p>
              </w:tc>
              <w:tc>
                <w:tcPr>
                  <w:tcW w:w="59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7</w:t>
                  </w:r>
                </w:p>
              </w:tc>
              <w:tc>
                <w:tcPr>
                  <w:tcW w:w="1408"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jc w:val="right"/>
                    <w:rPr>
                      <w:rFonts w:hint="eastAsia" w:asciiTheme="minorEastAsia" w:hAnsiTheme="minorEastAsia" w:eastAsiaTheme="minorEastAsia" w:cstheme="minorEastAsia"/>
                      <w:i w:val="0"/>
                      <w:color w:val="000000"/>
                      <w:sz w:val="21"/>
                      <w:szCs w:val="21"/>
                      <w:u w:val="none"/>
                    </w:rPr>
                  </w:pPr>
                </w:p>
              </w:tc>
              <w:tc>
                <w:tcPr>
                  <w:tcW w:w="50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七、文化旅游体育与传媒支出…</w:t>
                  </w:r>
                </w:p>
              </w:tc>
              <w:tc>
                <w:tcPr>
                  <w:tcW w:w="1159" w:type="dxa"/>
                  <w:tcBorders>
                    <w:top w:val="single" w:color="auto" w:sz="4" w:space="0"/>
                    <w:left w:val="single" w:color="auto" w:sz="4" w:space="0"/>
                    <w:bottom w:val="single" w:color="auto" w:sz="4" w:space="0"/>
                    <w:right w:val="single" w:color="auto" w:sz="4" w:space="0"/>
                  </w:tcBorders>
                  <w:shd w:val="clear" w:color="auto" w:fill="FFFFFF"/>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20</w:t>
                  </w:r>
                </w:p>
              </w:tc>
              <w:tc>
                <w:tcPr>
                  <w:tcW w:w="1771" w:type="dxa"/>
                  <w:tcBorders>
                    <w:top w:val="single" w:color="auto" w:sz="4" w:space="0"/>
                    <w:left w:val="single" w:color="auto" w:sz="4" w:space="0"/>
                    <w:bottom w:val="single" w:color="auto" w:sz="4" w:space="0"/>
                    <w:right w:val="single" w:color="auto" w:sz="4" w:space="0"/>
                  </w:tcBorders>
                  <w:shd w:val="clear" w:color="auto" w:fill="auto"/>
                  <w:noWrap/>
                  <w:vAlign w:val="top"/>
                </w:tcPr>
                <w:p>
                  <w:pPr>
                    <w:jc w:val="right"/>
                    <w:rPr>
                      <w:rFonts w:hint="eastAsia" w:asciiTheme="minorEastAsia" w:hAnsiTheme="minorEastAsia" w:eastAsiaTheme="minorEastAsia" w:cstheme="minorEastAsia"/>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八、其他收入</w:t>
                  </w:r>
                </w:p>
              </w:tc>
              <w:tc>
                <w:tcPr>
                  <w:tcW w:w="59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8</w:t>
                  </w:r>
                </w:p>
              </w:tc>
              <w:tc>
                <w:tcPr>
                  <w:tcW w:w="1408"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jc w:val="left"/>
                    <w:rPr>
                      <w:rFonts w:hint="eastAsia" w:asciiTheme="minorEastAsia" w:hAnsiTheme="minorEastAsia" w:eastAsiaTheme="minorEastAsia" w:cstheme="minorEastAsia"/>
                      <w:i w:val="0"/>
                      <w:color w:val="000000"/>
                      <w:sz w:val="21"/>
                      <w:szCs w:val="21"/>
                      <w:u w:val="none"/>
                    </w:rPr>
                  </w:pPr>
                </w:p>
              </w:tc>
              <w:tc>
                <w:tcPr>
                  <w:tcW w:w="5070"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left"/>
                    <w:rPr>
                      <w:rFonts w:hint="eastAsia" w:asciiTheme="minorEastAsia" w:hAnsiTheme="minorEastAsia" w:eastAsiaTheme="minorEastAsia" w:cstheme="minorEastAsia"/>
                      <w:i w:val="0"/>
                      <w:color w:val="000000"/>
                      <w:sz w:val="21"/>
                      <w:szCs w:val="21"/>
                      <w:u w:val="none"/>
                      <w:lang w:eastAsia="zh-CN"/>
                    </w:rPr>
                  </w:pPr>
                  <w:r>
                    <w:rPr>
                      <w:rFonts w:hint="eastAsia" w:asciiTheme="minorEastAsia" w:hAnsiTheme="minorEastAsia" w:eastAsiaTheme="minorEastAsia" w:cstheme="minorEastAsia"/>
                      <w:i w:val="0"/>
                      <w:color w:val="000000"/>
                      <w:sz w:val="21"/>
                      <w:szCs w:val="21"/>
                      <w:u w:val="none"/>
                      <w:lang w:eastAsia="zh-CN"/>
                    </w:rPr>
                    <w:t>八、社会保障和就业支出</w:t>
                  </w:r>
                </w:p>
              </w:tc>
              <w:tc>
                <w:tcPr>
                  <w:tcW w:w="1159" w:type="dxa"/>
                  <w:tcBorders>
                    <w:top w:val="single" w:color="auto" w:sz="4" w:space="0"/>
                    <w:left w:val="single" w:color="auto" w:sz="4" w:space="0"/>
                    <w:bottom w:val="single" w:color="auto" w:sz="4" w:space="0"/>
                    <w:right w:val="single" w:color="auto" w:sz="4" w:space="0"/>
                  </w:tcBorders>
                  <w:shd w:val="clear" w:color="auto" w:fill="FFFFFF"/>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21</w:t>
                  </w:r>
                </w:p>
              </w:tc>
              <w:tc>
                <w:tcPr>
                  <w:tcW w:w="1771" w:type="dxa"/>
                  <w:tcBorders>
                    <w:top w:val="single" w:color="auto" w:sz="4" w:space="0"/>
                    <w:left w:val="single" w:color="auto" w:sz="4" w:space="0"/>
                    <w:bottom w:val="single" w:color="auto" w:sz="4" w:space="0"/>
                    <w:right w:val="single" w:color="auto" w:sz="4" w:space="0"/>
                  </w:tcBorders>
                  <w:shd w:val="clear" w:color="auto" w:fill="auto"/>
                  <w:noWrap/>
                  <w:vAlign w:val="top"/>
                </w:tcPr>
                <w:p>
                  <w:pPr>
                    <w:jc w:val="right"/>
                    <w:rPr>
                      <w:rFonts w:hint="eastAsia" w:asciiTheme="minorEastAsia" w:hAnsiTheme="minorEastAsia" w:eastAsiaTheme="minorEastAsia" w:cstheme="minorEastAsia"/>
                      <w:i w:val="0"/>
                      <w:color w:val="000000"/>
                      <w:sz w:val="21"/>
                      <w:szCs w:val="21"/>
                      <w:u w:val="none"/>
                      <w:lang w:val="en-US" w:eastAsia="zh-CN"/>
                    </w:rPr>
                  </w:pPr>
                  <w:r>
                    <w:rPr>
                      <w:rFonts w:hint="eastAsia" w:asciiTheme="minorEastAsia" w:hAnsiTheme="minorEastAsia" w:eastAsiaTheme="minorEastAsia" w:cstheme="minorEastAsia"/>
                      <w:i w:val="0"/>
                      <w:color w:val="000000"/>
                      <w:sz w:val="21"/>
                      <w:szCs w:val="21"/>
                      <w:u w:val="none"/>
                      <w:lang w:val="en-US" w:eastAsia="zh-CN"/>
                    </w:rPr>
                    <w:t xml:space="preserve">       66.11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trPr>
              <w:tc>
                <w:tcPr>
                  <w:tcW w:w="44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Theme="minorEastAsia" w:hAnsiTheme="minorEastAsia" w:eastAsiaTheme="minorEastAsia" w:cstheme="minorEastAsia"/>
                      <w:i w:val="0"/>
                      <w:color w:val="000000"/>
                      <w:sz w:val="21"/>
                      <w:szCs w:val="21"/>
                      <w:u w:val="none"/>
                    </w:rPr>
                  </w:pPr>
                </w:p>
              </w:tc>
              <w:tc>
                <w:tcPr>
                  <w:tcW w:w="59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9</w:t>
                  </w:r>
                </w:p>
              </w:tc>
              <w:tc>
                <w:tcPr>
                  <w:tcW w:w="1408"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jc w:val="right"/>
                    <w:rPr>
                      <w:rFonts w:hint="eastAsia" w:asciiTheme="minorEastAsia" w:hAnsiTheme="minorEastAsia" w:eastAsiaTheme="minorEastAsia" w:cstheme="minorEastAsia"/>
                      <w:i w:val="0"/>
                      <w:color w:val="000000"/>
                      <w:sz w:val="21"/>
                      <w:szCs w:val="21"/>
                      <w:u w:val="none"/>
                    </w:rPr>
                  </w:pPr>
                </w:p>
              </w:tc>
              <w:tc>
                <w:tcPr>
                  <w:tcW w:w="5070"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both"/>
                    <w:rPr>
                      <w:rFonts w:hint="eastAsia" w:asciiTheme="minorEastAsia" w:hAnsiTheme="minorEastAsia" w:eastAsiaTheme="minorEastAsia" w:cstheme="minorEastAsia"/>
                      <w:i w:val="0"/>
                      <w:color w:val="000000"/>
                      <w:sz w:val="21"/>
                      <w:szCs w:val="21"/>
                      <w:u w:val="none"/>
                      <w:lang w:eastAsia="zh-CN"/>
                    </w:rPr>
                  </w:pPr>
                  <w:r>
                    <w:rPr>
                      <w:rFonts w:hint="eastAsia" w:asciiTheme="minorEastAsia" w:hAnsiTheme="minorEastAsia" w:eastAsiaTheme="minorEastAsia" w:cstheme="minorEastAsia"/>
                      <w:i w:val="0"/>
                      <w:color w:val="000000"/>
                      <w:sz w:val="21"/>
                      <w:szCs w:val="21"/>
                      <w:u w:val="none"/>
                      <w:lang w:eastAsia="zh-CN"/>
                    </w:rPr>
                    <w:t>九</w:t>
                  </w:r>
                  <w:r>
                    <w:rPr>
                      <w:rFonts w:hint="eastAsia" w:asciiTheme="minorEastAsia" w:hAnsiTheme="minorEastAsia" w:eastAsiaTheme="minorEastAsia" w:cstheme="minorEastAsia"/>
                      <w:i w:val="0"/>
                      <w:color w:val="000000"/>
                      <w:sz w:val="21"/>
                      <w:szCs w:val="21"/>
                      <w:u w:val="none"/>
                      <w:lang w:val="en-US" w:eastAsia="zh-CN"/>
                    </w:rPr>
                    <w:t>、</w:t>
                  </w:r>
                  <w:r>
                    <w:rPr>
                      <w:rFonts w:hint="eastAsia" w:asciiTheme="minorEastAsia" w:hAnsiTheme="minorEastAsia" w:eastAsiaTheme="minorEastAsia" w:cstheme="minorEastAsia"/>
                      <w:i w:val="0"/>
                      <w:color w:val="000000"/>
                      <w:kern w:val="0"/>
                      <w:sz w:val="21"/>
                      <w:szCs w:val="21"/>
                      <w:u w:val="none"/>
                      <w:lang w:val="en-US" w:eastAsia="zh-CN" w:bidi="ar"/>
                    </w:rPr>
                    <w:t>卫生健康支出</w:t>
                  </w:r>
                </w:p>
              </w:tc>
              <w:tc>
                <w:tcPr>
                  <w:tcW w:w="1159" w:type="dxa"/>
                  <w:tcBorders>
                    <w:top w:val="single" w:color="auto" w:sz="4" w:space="0"/>
                    <w:left w:val="single" w:color="auto" w:sz="4" w:space="0"/>
                    <w:bottom w:val="single" w:color="auto" w:sz="4" w:space="0"/>
                    <w:right w:val="single" w:color="auto" w:sz="4" w:space="0"/>
                  </w:tcBorders>
                  <w:shd w:val="clear" w:color="auto" w:fill="FFFFFF"/>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22</w:t>
                  </w:r>
                </w:p>
              </w:tc>
              <w:tc>
                <w:tcPr>
                  <w:tcW w:w="1771" w:type="dxa"/>
                  <w:tcBorders>
                    <w:top w:val="single" w:color="auto" w:sz="4" w:space="0"/>
                    <w:left w:val="single" w:color="auto" w:sz="4" w:space="0"/>
                    <w:bottom w:val="single" w:color="auto" w:sz="4" w:space="0"/>
                    <w:right w:val="single" w:color="auto" w:sz="4" w:space="0"/>
                  </w:tcBorders>
                  <w:shd w:val="clear" w:color="auto" w:fill="auto"/>
                  <w:noWrap/>
                  <w:vAlign w:val="top"/>
                </w:tcPr>
                <w:p>
                  <w:pPr>
                    <w:ind w:firstLine="840" w:firstLineChars="400"/>
                    <w:jc w:val="right"/>
                    <w:rPr>
                      <w:rFonts w:hint="eastAsia" w:asciiTheme="minorEastAsia" w:hAnsiTheme="minorEastAsia" w:eastAsiaTheme="minorEastAsia" w:cstheme="minorEastAsia"/>
                      <w:b/>
                      <w:i w:val="0"/>
                      <w:color w:val="000000"/>
                      <w:sz w:val="21"/>
                      <w:szCs w:val="21"/>
                      <w:u w:val="none"/>
                      <w:lang w:val="en-US" w:eastAsia="zh-CN"/>
                    </w:rPr>
                  </w:pPr>
                  <w:r>
                    <w:rPr>
                      <w:rFonts w:hint="eastAsia" w:asciiTheme="minorEastAsia" w:hAnsiTheme="minorEastAsia" w:eastAsiaTheme="minorEastAsia" w:cstheme="minorEastAsia"/>
                      <w:i w:val="0"/>
                      <w:color w:val="000000"/>
                      <w:sz w:val="21"/>
                      <w:szCs w:val="21"/>
                      <w:u w:val="none"/>
                      <w:lang w:val="en-US" w:eastAsia="zh-CN"/>
                    </w:rPr>
                    <w:t>15.6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trPr>
              <w:tc>
                <w:tcPr>
                  <w:tcW w:w="44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Theme="minorEastAsia" w:hAnsiTheme="minorEastAsia" w:eastAsiaTheme="minorEastAsia" w:cstheme="minorEastAsia"/>
                      <w:i w:val="0"/>
                      <w:color w:val="000000"/>
                      <w:sz w:val="21"/>
                      <w:szCs w:val="21"/>
                      <w:u w:val="none"/>
                    </w:rPr>
                  </w:pPr>
                </w:p>
              </w:tc>
              <w:tc>
                <w:tcPr>
                  <w:tcW w:w="59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1"/>
                      <w:szCs w:val="21"/>
                      <w:u w:val="none"/>
                      <w:lang w:val="en-US" w:eastAsia="zh-CN" w:bidi="ar"/>
                    </w:rPr>
                  </w:pPr>
                </w:p>
              </w:tc>
              <w:tc>
                <w:tcPr>
                  <w:tcW w:w="1408"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jc w:val="right"/>
                    <w:rPr>
                      <w:rFonts w:hint="eastAsia" w:asciiTheme="minorEastAsia" w:hAnsiTheme="minorEastAsia" w:eastAsiaTheme="minorEastAsia" w:cstheme="minorEastAsia"/>
                      <w:i w:val="0"/>
                      <w:color w:val="000000"/>
                      <w:sz w:val="21"/>
                      <w:szCs w:val="21"/>
                      <w:u w:val="none"/>
                    </w:rPr>
                  </w:pPr>
                </w:p>
              </w:tc>
              <w:tc>
                <w:tcPr>
                  <w:tcW w:w="5070" w:type="dxa"/>
                  <w:tcBorders>
                    <w:top w:val="single" w:color="auto" w:sz="4" w:space="0"/>
                    <w:left w:val="single" w:color="auto" w:sz="4" w:space="0"/>
                    <w:bottom w:val="single" w:color="auto" w:sz="4" w:space="0"/>
                    <w:right w:val="single" w:color="auto" w:sz="4" w:space="0"/>
                  </w:tcBorders>
                  <w:shd w:val="clear" w:color="auto" w:fill="auto"/>
                  <w:noWrap/>
                  <w:vAlign w:val="center"/>
                </w:tcPr>
                <w:p>
                  <w:pPr>
                    <w:tabs>
                      <w:tab w:val="left" w:pos="756"/>
                    </w:tabs>
                    <w:jc w:val="both"/>
                    <w:rPr>
                      <w:rFonts w:hint="eastAsia" w:asciiTheme="minorEastAsia" w:hAnsiTheme="minorEastAsia" w:eastAsiaTheme="minorEastAsia" w:cstheme="minorEastAsia"/>
                      <w:i w:val="0"/>
                      <w:color w:val="000000"/>
                      <w:sz w:val="21"/>
                      <w:szCs w:val="21"/>
                      <w:u w:val="none"/>
                      <w:lang w:val="en-US" w:eastAsia="zh-CN"/>
                    </w:rPr>
                  </w:pPr>
                  <w:r>
                    <w:rPr>
                      <w:rFonts w:hint="eastAsia" w:asciiTheme="minorEastAsia" w:hAnsiTheme="minorEastAsia" w:eastAsiaTheme="minorEastAsia" w:cstheme="minorEastAsia"/>
                      <w:i w:val="0"/>
                      <w:color w:val="000000"/>
                      <w:sz w:val="21"/>
                      <w:szCs w:val="21"/>
                      <w:u w:val="none"/>
                      <w:lang w:eastAsia="zh-CN"/>
                    </w:rPr>
                    <w:t>十、住房保障支出</w:t>
                  </w:r>
                  <w:r>
                    <w:rPr>
                      <w:rFonts w:hint="eastAsia" w:asciiTheme="minorEastAsia" w:hAnsiTheme="minorEastAsia" w:eastAsiaTheme="minorEastAsia" w:cstheme="minorEastAsia"/>
                      <w:i w:val="0"/>
                      <w:color w:val="000000"/>
                      <w:sz w:val="21"/>
                      <w:szCs w:val="21"/>
                      <w:u w:val="none"/>
                      <w:lang w:val="en-US" w:eastAsia="zh-CN"/>
                    </w:rPr>
                    <w:t xml:space="preserve">    </w:t>
                  </w:r>
                </w:p>
              </w:tc>
              <w:tc>
                <w:tcPr>
                  <w:tcW w:w="1159" w:type="dxa"/>
                  <w:tcBorders>
                    <w:top w:val="single" w:color="auto" w:sz="4" w:space="0"/>
                    <w:left w:val="single" w:color="auto" w:sz="4" w:space="0"/>
                    <w:bottom w:val="single" w:color="auto" w:sz="4" w:space="0"/>
                    <w:right w:val="single" w:color="auto" w:sz="4" w:space="0"/>
                  </w:tcBorders>
                  <w:shd w:val="clear" w:color="auto" w:fill="FFFFFF"/>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1"/>
                      <w:szCs w:val="21"/>
                      <w:u w:val="none"/>
                      <w:lang w:val="en-US" w:eastAsia="zh-CN" w:bidi="ar"/>
                    </w:rPr>
                  </w:pPr>
                </w:p>
              </w:tc>
              <w:tc>
                <w:tcPr>
                  <w:tcW w:w="1771" w:type="dxa"/>
                  <w:tcBorders>
                    <w:top w:val="single" w:color="auto" w:sz="4" w:space="0"/>
                    <w:left w:val="single" w:color="auto" w:sz="4" w:space="0"/>
                    <w:bottom w:val="single" w:color="auto" w:sz="4" w:space="0"/>
                    <w:right w:val="single" w:color="auto" w:sz="4" w:space="0"/>
                  </w:tcBorders>
                  <w:shd w:val="clear" w:color="auto" w:fill="auto"/>
                  <w:noWrap/>
                  <w:vAlign w:val="top"/>
                </w:tcPr>
                <w:p>
                  <w:pPr>
                    <w:ind w:firstLine="630" w:firstLineChars="300"/>
                    <w:jc w:val="right"/>
                    <w:rPr>
                      <w:rFonts w:hint="eastAsia" w:asciiTheme="minorEastAsia" w:hAnsiTheme="minorEastAsia" w:eastAsiaTheme="minorEastAsia" w:cstheme="minorEastAsia"/>
                      <w:i w:val="0"/>
                      <w:color w:val="000000"/>
                      <w:sz w:val="21"/>
                      <w:szCs w:val="21"/>
                      <w:u w:val="none"/>
                      <w:lang w:val="en-US" w:eastAsia="zh-CN"/>
                    </w:rPr>
                  </w:pPr>
                  <w:r>
                    <w:rPr>
                      <w:rFonts w:hint="eastAsia" w:asciiTheme="minorEastAsia" w:hAnsiTheme="minorEastAsia" w:eastAsiaTheme="minorEastAsia" w:cstheme="minorEastAsia"/>
                      <w:i w:val="0"/>
                      <w:color w:val="000000"/>
                      <w:sz w:val="21"/>
                      <w:szCs w:val="21"/>
                      <w:u w:val="none"/>
                      <w:lang w:val="en-US" w:eastAsia="zh-CN"/>
                    </w:rPr>
                    <w:t>31.11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8" w:hRule="atLeast"/>
              </w:trPr>
              <w:tc>
                <w:tcPr>
                  <w:tcW w:w="44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i w:val="0"/>
                      <w:color w:val="000000"/>
                      <w:sz w:val="21"/>
                      <w:szCs w:val="21"/>
                      <w:u w:val="none"/>
                    </w:rPr>
                  </w:pPr>
                  <w:r>
                    <w:rPr>
                      <w:rFonts w:hint="eastAsia" w:asciiTheme="minorEastAsia" w:hAnsiTheme="minorEastAsia" w:eastAsiaTheme="minorEastAsia" w:cstheme="minorEastAsia"/>
                      <w:b/>
                      <w:i w:val="0"/>
                      <w:color w:val="000000"/>
                      <w:kern w:val="0"/>
                      <w:sz w:val="21"/>
                      <w:szCs w:val="21"/>
                      <w:u w:val="none"/>
                      <w:lang w:val="en-US" w:eastAsia="zh-CN" w:bidi="ar"/>
                    </w:rPr>
                    <w:t>本年收入合计</w:t>
                  </w:r>
                </w:p>
              </w:tc>
              <w:tc>
                <w:tcPr>
                  <w:tcW w:w="59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10</w:t>
                  </w:r>
                </w:p>
              </w:tc>
              <w:tc>
                <w:tcPr>
                  <w:tcW w:w="1408"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jc w:val="right"/>
                    <w:rPr>
                      <w:rFonts w:hint="eastAsia" w:asciiTheme="minorEastAsia" w:hAnsiTheme="minorEastAsia" w:eastAsiaTheme="minorEastAsia" w:cstheme="minorEastAsia"/>
                      <w:i w:val="0"/>
                      <w:color w:val="000000"/>
                      <w:sz w:val="21"/>
                      <w:szCs w:val="21"/>
                      <w:u w:val="none"/>
                      <w:lang w:val="en-US" w:eastAsia="zh-CN"/>
                    </w:rPr>
                  </w:pPr>
                  <w:r>
                    <w:rPr>
                      <w:rFonts w:hint="eastAsia" w:asciiTheme="minorEastAsia" w:hAnsiTheme="minorEastAsia" w:eastAsiaTheme="minorEastAsia" w:cstheme="minorEastAsia"/>
                      <w:b/>
                      <w:bCs/>
                      <w:i w:val="0"/>
                      <w:color w:val="000000"/>
                      <w:sz w:val="21"/>
                      <w:szCs w:val="21"/>
                      <w:u w:val="none"/>
                      <w:lang w:val="en-US" w:eastAsia="zh-CN"/>
                    </w:rPr>
                    <w:t>954.87</w:t>
                  </w:r>
                </w:p>
              </w:tc>
              <w:tc>
                <w:tcPr>
                  <w:tcW w:w="50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i w:val="0"/>
                      <w:color w:val="000000"/>
                      <w:sz w:val="21"/>
                      <w:szCs w:val="21"/>
                      <w:u w:val="none"/>
                    </w:rPr>
                  </w:pPr>
                  <w:r>
                    <w:rPr>
                      <w:rFonts w:hint="eastAsia" w:asciiTheme="minorEastAsia" w:hAnsiTheme="minorEastAsia" w:eastAsiaTheme="minorEastAsia" w:cstheme="minorEastAsia"/>
                      <w:b/>
                      <w:i w:val="0"/>
                      <w:color w:val="000000"/>
                      <w:kern w:val="0"/>
                      <w:sz w:val="21"/>
                      <w:szCs w:val="21"/>
                      <w:u w:val="none"/>
                      <w:lang w:val="en-US" w:eastAsia="zh-CN" w:bidi="ar"/>
                    </w:rPr>
                    <w:t>本年支出合计</w:t>
                  </w:r>
                </w:p>
              </w:tc>
              <w:tc>
                <w:tcPr>
                  <w:tcW w:w="1159" w:type="dxa"/>
                  <w:tcBorders>
                    <w:top w:val="single" w:color="auto" w:sz="4" w:space="0"/>
                    <w:left w:val="single" w:color="auto" w:sz="4" w:space="0"/>
                    <w:bottom w:val="single" w:color="auto" w:sz="4" w:space="0"/>
                    <w:right w:val="single" w:color="auto" w:sz="4" w:space="0"/>
                  </w:tcBorders>
                  <w:shd w:val="clear" w:color="auto" w:fill="FFFFFF"/>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23</w:t>
                  </w:r>
                </w:p>
              </w:tc>
              <w:tc>
                <w:tcPr>
                  <w:tcW w:w="1771" w:type="dxa"/>
                  <w:tcBorders>
                    <w:top w:val="single" w:color="auto" w:sz="4" w:space="0"/>
                    <w:left w:val="single" w:color="auto" w:sz="4" w:space="0"/>
                    <w:bottom w:val="single" w:color="auto" w:sz="4" w:space="0"/>
                    <w:right w:val="single" w:color="auto" w:sz="4" w:space="0"/>
                  </w:tcBorders>
                  <w:shd w:val="clear" w:color="auto" w:fill="auto"/>
                  <w:noWrap/>
                  <w:vAlign w:val="top"/>
                </w:tcPr>
                <w:p>
                  <w:pPr>
                    <w:ind w:firstLine="632" w:firstLineChars="300"/>
                    <w:jc w:val="right"/>
                    <w:rPr>
                      <w:rFonts w:hint="eastAsia" w:asciiTheme="minorEastAsia" w:hAnsiTheme="minorEastAsia" w:eastAsiaTheme="minorEastAsia" w:cstheme="minorEastAsia"/>
                      <w:b/>
                      <w:bCs/>
                      <w:i w:val="0"/>
                      <w:color w:val="000000"/>
                      <w:sz w:val="21"/>
                      <w:szCs w:val="21"/>
                      <w:u w:val="none"/>
                      <w:lang w:val="en-US" w:eastAsia="zh-CN"/>
                    </w:rPr>
                  </w:pPr>
                  <w:r>
                    <w:rPr>
                      <w:rFonts w:hint="eastAsia" w:asciiTheme="minorEastAsia" w:hAnsiTheme="minorEastAsia" w:eastAsiaTheme="minorEastAsia" w:cstheme="minorEastAsia"/>
                      <w:b/>
                      <w:bCs/>
                      <w:i w:val="0"/>
                      <w:color w:val="000000"/>
                      <w:sz w:val="21"/>
                      <w:szCs w:val="21"/>
                      <w:u w:val="none"/>
                      <w:lang w:val="en-US" w:eastAsia="zh-CN"/>
                    </w:rPr>
                    <w:t>954.87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8" w:hRule="atLeast"/>
              </w:trPr>
              <w:tc>
                <w:tcPr>
                  <w:tcW w:w="44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 xml:space="preserve">    使用非财政拨款结余（含专用结余）</w:t>
                  </w:r>
                </w:p>
              </w:tc>
              <w:tc>
                <w:tcPr>
                  <w:tcW w:w="59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11</w:t>
                  </w:r>
                </w:p>
              </w:tc>
              <w:tc>
                <w:tcPr>
                  <w:tcW w:w="1408"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jc w:val="right"/>
                    <w:rPr>
                      <w:rFonts w:hint="eastAsia" w:asciiTheme="minorEastAsia" w:hAnsiTheme="minorEastAsia" w:eastAsiaTheme="minorEastAsia" w:cstheme="minorEastAsia"/>
                      <w:i w:val="0"/>
                      <w:color w:val="000000"/>
                      <w:sz w:val="21"/>
                      <w:szCs w:val="21"/>
                      <w:u w:val="none"/>
                    </w:rPr>
                  </w:pPr>
                </w:p>
              </w:tc>
              <w:tc>
                <w:tcPr>
                  <w:tcW w:w="50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 xml:space="preserve">                结余分配</w:t>
                  </w:r>
                </w:p>
              </w:tc>
              <w:tc>
                <w:tcPr>
                  <w:tcW w:w="1159" w:type="dxa"/>
                  <w:tcBorders>
                    <w:top w:val="single" w:color="auto" w:sz="4" w:space="0"/>
                    <w:left w:val="single" w:color="auto" w:sz="4" w:space="0"/>
                    <w:bottom w:val="single" w:color="auto" w:sz="4" w:space="0"/>
                    <w:right w:val="single" w:color="auto" w:sz="4" w:space="0"/>
                  </w:tcBorders>
                  <w:shd w:val="clear" w:color="auto" w:fill="FFFFFF"/>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24</w:t>
                  </w:r>
                </w:p>
              </w:tc>
              <w:tc>
                <w:tcPr>
                  <w:tcW w:w="1771" w:type="dxa"/>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eastAsia" w:asciiTheme="minorEastAsia" w:hAnsiTheme="minorEastAsia" w:eastAsiaTheme="minorEastAsia" w:cstheme="minorEastAsia"/>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8" w:hRule="atLeast"/>
              </w:trPr>
              <w:tc>
                <w:tcPr>
                  <w:tcW w:w="44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 xml:space="preserve">         年初结转和结余</w:t>
                  </w:r>
                </w:p>
              </w:tc>
              <w:tc>
                <w:tcPr>
                  <w:tcW w:w="59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12</w:t>
                  </w:r>
                </w:p>
              </w:tc>
              <w:tc>
                <w:tcPr>
                  <w:tcW w:w="1408"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jc w:val="right"/>
                    <w:rPr>
                      <w:rFonts w:hint="eastAsia" w:asciiTheme="minorEastAsia" w:hAnsiTheme="minorEastAsia" w:eastAsiaTheme="minorEastAsia" w:cstheme="minorEastAsia"/>
                      <w:i w:val="0"/>
                      <w:color w:val="000000"/>
                      <w:sz w:val="21"/>
                      <w:szCs w:val="21"/>
                      <w:u w:val="none"/>
                    </w:rPr>
                  </w:pPr>
                </w:p>
              </w:tc>
              <w:tc>
                <w:tcPr>
                  <w:tcW w:w="507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 xml:space="preserve">                年末结转和结余</w:t>
                  </w:r>
                </w:p>
              </w:tc>
              <w:tc>
                <w:tcPr>
                  <w:tcW w:w="1159" w:type="dxa"/>
                  <w:tcBorders>
                    <w:top w:val="single" w:color="auto" w:sz="4" w:space="0"/>
                    <w:left w:val="single" w:color="auto" w:sz="4" w:space="0"/>
                    <w:bottom w:val="single" w:color="auto" w:sz="4" w:space="0"/>
                    <w:right w:val="single" w:color="auto" w:sz="4" w:space="0"/>
                  </w:tcBorders>
                  <w:shd w:val="clear" w:color="auto" w:fill="FFFFFF"/>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25</w:t>
                  </w:r>
                </w:p>
              </w:tc>
              <w:tc>
                <w:tcPr>
                  <w:tcW w:w="1771" w:type="dxa"/>
                  <w:tcBorders>
                    <w:top w:val="single" w:color="auto" w:sz="4" w:space="0"/>
                    <w:left w:val="single" w:color="auto" w:sz="4" w:space="0"/>
                    <w:bottom w:val="single" w:color="auto" w:sz="4" w:space="0"/>
                    <w:right w:val="single" w:color="auto" w:sz="4" w:space="0"/>
                  </w:tcBorders>
                  <w:shd w:val="clear" w:color="auto" w:fill="auto"/>
                  <w:noWrap/>
                  <w:vAlign w:val="center"/>
                </w:tcPr>
                <w:p>
                  <w:pPr>
                    <w:rPr>
                      <w:rFonts w:hint="eastAsia" w:asciiTheme="minorEastAsia" w:hAnsiTheme="minorEastAsia" w:eastAsiaTheme="minorEastAsia" w:cstheme="minorEastAsia"/>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447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i w:val="0"/>
                      <w:color w:val="000000"/>
                      <w:sz w:val="21"/>
                      <w:szCs w:val="21"/>
                      <w:u w:val="none"/>
                    </w:rPr>
                  </w:pPr>
                  <w:r>
                    <w:rPr>
                      <w:rFonts w:hint="eastAsia" w:asciiTheme="minorEastAsia" w:hAnsiTheme="minorEastAsia" w:eastAsiaTheme="minorEastAsia" w:cstheme="minorEastAsia"/>
                      <w:b/>
                      <w:i w:val="0"/>
                      <w:color w:val="000000"/>
                      <w:kern w:val="0"/>
                      <w:sz w:val="21"/>
                      <w:szCs w:val="21"/>
                      <w:u w:val="none"/>
                      <w:lang w:val="en-US" w:eastAsia="zh-CN" w:bidi="ar"/>
                    </w:rPr>
                    <w:t>总计</w:t>
                  </w:r>
                </w:p>
              </w:tc>
              <w:tc>
                <w:tcPr>
                  <w:tcW w:w="59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13</w:t>
                  </w:r>
                </w:p>
              </w:tc>
              <w:tc>
                <w:tcPr>
                  <w:tcW w:w="1408"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jc w:val="right"/>
                    <w:rPr>
                      <w:rFonts w:hint="eastAsia" w:asciiTheme="minorEastAsia" w:hAnsiTheme="minorEastAsia" w:eastAsiaTheme="minorEastAsia" w:cstheme="minorEastAsia"/>
                      <w:i w:val="0"/>
                      <w:color w:val="000000"/>
                      <w:sz w:val="21"/>
                      <w:szCs w:val="21"/>
                      <w:u w:val="none"/>
                      <w:lang w:val="en-US" w:eastAsia="zh-CN"/>
                    </w:rPr>
                  </w:pPr>
                  <w:r>
                    <w:rPr>
                      <w:rFonts w:hint="eastAsia" w:asciiTheme="minorEastAsia" w:hAnsiTheme="minorEastAsia" w:eastAsiaTheme="minorEastAsia" w:cstheme="minorEastAsia"/>
                      <w:b/>
                      <w:bCs/>
                      <w:i w:val="0"/>
                      <w:color w:val="000000"/>
                      <w:sz w:val="21"/>
                      <w:szCs w:val="21"/>
                      <w:u w:val="none"/>
                      <w:lang w:val="en-US" w:eastAsia="zh-CN"/>
                    </w:rPr>
                    <w:t>954.87</w:t>
                  </w:r>
                </w:p>
              </w:tc>
              <w:tc>
                <w:tcPr>
                  <w:tcW w:w="5070" w:type="dxa"/>
                  <w:tcBorders>
                    <w:top w:val="single" w:color="auto" w:sz="4" w:space="0"/>
                    <w:left w:val="single" w:color="auto" w:sz="4" w:space="0"/>
                    <w:bottom w:val="single" w:color="auto" w:sz="4" w:space="0"/>
                    <w:right w:val="single" w:color="auto" w:sz="4" w:space="0"/>
                  </w:tcBorders>
                  <w:shd w:val="clear" w:color="auto" w:fill="FFFFFF"/>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i w:val="0"/>
                      <w:color w:val="000000"/>
                      <w:sz w:val="21"/>
                      <w:szCs w:val="21"/>
                      <w:u w:val="none"/>
                    </w:rPr>
                  </w:pPr>
                  <w:r>
                    <w:rPr>
                      <w:rFonts w:hint="eastAsia" w:asciiTheme="minorEastAsia" w:hAnsiTheme="minorEastAsia" w:eastAsiaTheme="minorEastAsia" w:cstheme="minorEastAsia"/>
                      <w:b/>
                      <w:i w:val="0"/>
                      <w:color w:val="000000"/>
                      <w:kern w:val="0"/>
                      <w:sz w:val="21"/>
                      <w:szCs w:val="21"/>
                      <w:u w:val="none"/>
                      <w:lang w:val="en-US" w:eastAsia="zh-CN" w:bidi="ar"/>
                    </w:rPr>
                    <w:t>总计</w:t>
                  </w:r>
                </w:p>
              </w:tc>
              <w:tc>
                <w:tcPr>
                  <w:tcW w:w="1159" w:type="dxa"/>
                  <w:tcBorders>
                    <w:top w:val="single" w:color="auto" w:sz="4" w:space="0"/>
                    <w:left w:val="single" w:color="auto" w:sz="4" w:space="0"/>
                    <w:bottom w:val="single" w:color="auto" w:sz="4" w:space="0"/>
                    <w:right w:val="single" w:color="auto" w:sz="4" w:space="0"/>
                  </w:tcBorders>
                  <w:shd w:val="clear" w:color="auto" w:fill="FFFFFF"/>
                  <w:noWrap/>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26</w:t>
                  </w:r>
                </w:p>
              </w:tc>
              <w:tc>
                <w:tcPr>
                  <w:tcW w:w="1771" w:type="dxa"/>
                  <w:tcBorders>
                    <w:top w:val="single" w:color="auto" w:sz="4" w:space="0"/>
                    <w:left w:val="single" w:color="auto" w:sz="4" w:space="0"/>
                    <w:bottom w:val="single" w:color="auto" w:sz="4" w:space="0"/>
                    <w:right w:val="single" w:color="auto" w:sz="4" w:space="0"/>
                  </w:tcBorders>
                  <w:shd w:val="clear" w:color="auto" w:fill="auto"/>
                  <w:noWrap/>
                  <w:vAlign w:val="center"/>
                </w:tcPr>
                <w:p>
                  <w:pPr>
                    <w:ind w:firstLine="632" w:firstLineChars="300"/>
                    <w:rPr>
                      <w:rFonts w:hint="eastAsia" w:asciiTheme="minorEastAsia" w:hAnsiTheme="minorEastAsia" w:eastAsiaTheme="minorEastAsia" w:cstheme="minorEastAsia"/>
                      <w:b/>
                      <w:i w:val="0"/>
                      <w:color w:val="000000"/>
                      <w:sz w:val="21"/>
                      <w:szCs w:val="21"/>
                      <w:u w:val="none"/>
                      <w:lang w:val="en-US" w:eastAsia="zh-CN"/>
                    </w:rPr>
                  </w:pPr>
                  <w:r>
                    <w:rPr>
                      <w:rFonts w:hint="eastAsia" w:asciiTheme="minorEastAsia" w:hAnsiTheme="minorEastAsia" w:eastAsiaTheme="minorEastAsia" w:cstheme="minorEastAsia"/>
                      <w:b/>
                      <w:i w:val="0"/>
                      <w:color w:val="000000"/>
                      <w:sz w:val="21"/>
                      <w:szCs w:val="21"/>
                      <w:u w:val="none"/>
                      <w:lang w:val="en-US" w:eastAsia="zh-CN"/>
                    </w:rPr>
                    <w:t>954.87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8" w:hRule="atLeast"/>
              </w:trPr>
              <w:tc>
                <w:tcPr>
                  <w:tcW w:w="14475" w:type="dxa"/>
                  <w:gridSpan w:val="6"/>
                  <w:tcBorders>
                    <w:top w:val="single" w:color="000000" w:sz="4" w:space="0"/>
                    <w:left w:val="single" w:color="000000" w:sz="4" w:space="0"/>
                    <w:bottom w:val="single" w:color="000000" w:sz="4" w:space="0"/>
                    <w:right w:val="single" w:color="000000" w:sz="4" w:space="0"/>
                  </w:tcBorders>
                  <w:shd w:val="clear" w:color="auto" w:fill="FFFFFF"/>
                  <w:noWrap/>
                  <w:vAlign w:val="center"/>
                </w:tcPr>
                <w:p>
                  <w:pPr>
                    <w:numPr>
                      <w:ilvl w:val="0"/>
                      <w:numId w:val="2"/>
                    </w:numPr>
                    <w:ind w:left="662" w:leftChars="0" w:firstLine="0" w:firstLineChars="0"/>
                    <w:rPr>
                      <w:rFonts w:hint="eastAsia" w:asciiTheme="minorEastAsia" w:hAnsiTheme="minorEastAsia" w:eastAsiaTheme="minorEastAsia" w:cstheme="minorEastAsia"/>
                      <w:i w:val="0"/>
                      <w:color w:val="000000"/>
                      <w:kern w:val="0"/>
                      <w:sz w:val="21"/>
                      <w:szCs w:val="21"/>
                      <w:u w:val="none"/>
                      <w:lang w:val="en-US" w:eastAsia="zh-CN" w:bidi="ar"/>
                    </w:rPr>
                  </w:pPr>
                  <w:r>
                    <w:rPr>
                      <w:rFonts w:hint="eastAsia" w:asciiTheme="minorEastAsia" w:hAnsiTheme="minorEastAsia" w:eastAsiaTheme="minorEastAsia" w:cstheme="minorEastAsia"/>
                      <w:i w:val="0"/>
                      <w:color w:val="000000"/>
                      <w:kern w:val="0"/>
                      <w:sz w:val="21"/>
                      <w:szCs w:val="21"/>
                      <w:u w:val="none"/>
                      <w:lang w:val="en-US" w:eastAsia="zh-CN" w:bidi="ar"/>
                    </w:rPr>
                    <w:t>本表反映部门本年度的总收支和年末结转结余情况。</w:t>
                  </w:r>
                </w:p>
                <w:p>
                  <w:pPr>
                    <w:pStyle w:val="2"/>
                    <w:numPr>
                      <w:ilvl w:val="0"/>
                      <w:numId w:val="2"/>
                    </w:numPr>
                    <w:ind w:left="662" w:leftChars="0" w:firstLine="0" w:firstLineChars="0"/>
                    <w:rPr>
                      <w:rFonts w:hint="eastAsia" w:asciiTheme="minorEastAsia" w:hAnsiTheme="minorEastAsia" w:eastAsiaTheme="minorEastAsia" w:cstheme="minorEastAsia"/>
                      <w:b w:val="0"/>
                      <w:i w:val="0"/>
                      <w:color w:val="000000"/>
                      <w:kern w:val="0"/>
                      <w:sz w:val="21"/>
                      <w:szCs w:val="21"/>
                      <w:u w:val="none"/>
                      <w:lang w:val="en-US" w:eastAsia="zh-CN" w:bidi="ar"/>
                    </w:rPr>
                  </w:pPr>
                  <w:r>
                    <w:rPr>
                      <w:rFonts w:hint="eastAsia" w:asciiTheme="minorEastAsia" w:hAnsiTheme="minorEastAsia" w:eastAsiaTheme="minorEastAsia" w:cstheme="minorEastAsia"/>
                      <w:b w:val="0"/>
                      <w:i w:val="0"/>
                      <w:color w:val="000000"/>
                      <w:kern w:val="0"/>
                      <w:sz w:val="21"/>
                      <w:szCs w:val="21"/>
                      <w:u w:val="none"/>
                      <w:lang w:val="en-US" w:eastAsia="zh-CN" w:bidi="ar"/>
                    </w:rPr>
                    <w:t>本套报表金额单位转换时可能存在尾数误差。</w:t>
                  </w:r>
                </w:p>
                <w:p>
                  <w:pPr>
                    <w:rPr>
                      <w:rFonts w:hint="eastAsia" w:asciiTheme="minorEastAsia" w:hAnsiTheme="minorEastAsia" w:eastAsiaTheme="minorEastAsia" w:cstheme="minorEastAsia"/>
                      <w:b/>
                      <w:i w:val="0"/>
                      <w:color w:val="000000"/>
                      <w:sz w:val="21"/>
                      <w:szCs w:val="21"/>
                      <w:u w:val="none"/>
                      <w:lang w:val="en-US" w:eastAsia="zh-CN"/>
                    </w:rPr>
                  </w:pPr>
                  <w:r>
                    <w:rPr>
                      <w:rFonts w:hint="eastAsia" w:asciiTheme="minorEastAsia" w:hAnsiTheme="minorEastAsia" w:eastAsiaTheme="minorEastAsia" w:cstheme="minorEastAsia"/>
                      <w:i w:val="0"/>
                      <w:color w:val="000000"/>
                      <w:kern w:val="0"/>
                      <w:sz w:val="21"/>
                      <w:szCs w:val="21"/>
                      <w:u w:val="none"/>
                      <w:lang w:val="en-US" w:eastAsia="zh-CN" w:bidi="ar"/>
                    </w:rPr>
                    <w:t xml:space="preserve">   </w:t>
                  </w:r>
                </w:p>
              </w:tc>
            </w:tr>
          </w:tbl>
          <w:p>
            <w:pPr>
              <w:jc w:val="center"/>
              <w:rPr>
                <w:rFonts w:ascii="华文中宋" w:hAnsi="华文中宋" w:eastAsia="华文中宋" w:cs="宋体"/>
                <w:color w:val="000000"/>
                <w:sz w:val="32"/>
                <w:szCs w:val="32"/>
              </w:rPr>
            </w:pPr>
            <w:r>
              <w:rPr>
                <w:rFonts w:hint="eastAsia" w:ascii="华文中宋" w:hAnsi="华文中宋" w:eastAsia="华文中宋"/>
                <w:color w:val="000000"/>
                <w:sz w:val="32"/>
                <w:szCs w:val="32"/>
              </w:rPr>
              <w:t>收入决算表</w:t>
            </w:r>
          </w:p>
        </w:tc>
      </w:tr>
      <w:tr>
        <w:tblPrEx>
          <w:tblCellMar>
            <w:top w:w="0" w:type="dxa"/>
            <w:left w:w="0" w:type="dxa"/>
            <w:bottom w:w="0" w:type="dxa"/>
            <w:right w:w="0" w:type="dxa"/>
          </w:tblCellMar>
        </w:tblPrEx>
        <w:trPr>
          <w:trHeight w:val="285" w:hRule="atLeast"/>
        </w:trPr>
        <w:tc>
          <w:tcPr>
            <w:tcW w:w="386"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445"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2469"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2198"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535"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535"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535"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535"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535"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347"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color w:val="000000"/>
                <w:sz w:val="20"/>
                <w:szCs w:val="20"/>
              </w:rPr>
            </w:pPr>
            <w:r>
              <w:rPr>
                <w:rFonts w:hint="eastAsia"/>
                <w:color w:val="000000"/>
                <w:sz w:val="20"/>
                <w:szCs w:val="20"/>
              </w:rPr>
              <w:t>公开02表</w:t>
            </w:r>
          </w:p>
        </w:tc>
      </w:tr>
      <w:tr>
        <w:tblPrEx>
          <w:tblCellMar>
            <w:top w:w="0" w:type="dxa"/>
            <w:left w:w="0" w:type="dxa"/>
            <w:bottom w:w="0" w:type="dxa"/>
            <w:right w:w="0" w:type="dxa"/>
          </w:tblCellMar>
        </w:tblPrEx>
        <w:trPr>
          <w:trHeight w:val="285" w:hRule="atLeast"/>
        </w:trPr>
        <w:tc>
          <w:tcPr>
            <w:tcW w:w="831" w:type="dxa"/>
            <w:gridSpan w:val="2"/>
            <w:tcBorders>
              <w:top w:val="nil"/>
              <w:left w:val="nil"/>
              <w:bottom w:val="nil"/>
              <w:right w:val="nil"/>
            </w:tcBorders>
            <w:shd w:val="clear" w:color="000000" w:fill="FFFFFF"/>
            <w:noWrap/>
            <w:tcMar>
              <w:top w:w="15" w:type="dxa"/>
              <w:left w:w="15" w:type="dxa"/>
              <w:bottom w:w="0" w:type="dxa"/>
              <w:right w:w="15" w:type="dxa"/>
            </w:tcMar>
            <w:vAlign w:val="center"/>
          </w:tcPr>
          <w:p>
            <w:pPr>
              <w:rPr>
                <w:rFonts w:ascii="宋体" w:hAnsi="宋体" w:eastAsia="宋体" w:cs="宋体"/>
                <w:color w:val="000000"/>
                <w:sz w:val="20"/>
                <w:szCs w:val="20"/>
              </w:rPr>
            </w:pPr>
            <w:r>
              <w:rPr>
                <w:rFonts w:hint="eastAsia"/>
                <w:color w:val="000000"/>
                <w:sz w:val="20"/>
                <w:szCs w:val="20"/>
              </w:rPr>
              <w:t>部门：</w:t>
            </w:r>
          </w:p>
        </w:tc>
        <w:tc>
          <w:tcPr>
            <w:tcW w:w="2469" w:type="dxa"/>
            <w:tcBorders>
              <w:top w:val="nil"/>
              <w:left w:val="nil"/>
              <w:bottom w:val="nil"/>
              <w:right w:val="nil"/>
            </w:tcBorders>
            <w:shd w:val="clear" w:color="000000" w:fill="FFFFFF"/>
            <w:noWrap/>
            <w:tcMar>
              <w:top w:w="15" w:type="dxa"/>
              <w:left w:w="15" w:type="dxa"/>
              <w:bottom w:w="0" w:type="dxa"/>
              <w:right w:w="15" w:type="dxa"/>
            </w:tcMar>
            <w:vAlign w:val="center"/>
          </w:tcPr>
          <w:p>
            <w:pPr>
              <w:tabs>
                <w:tab w:val="left" w:pos="354"/>
                <w:tab w:val="right" w:pos="2769"/>
              </w:tabs>
              <w:jc w:val="left"/>
              <w:rPr>
                <w:rFonts w:ascii="宋体" w:hAnsi="宋体" w:eastAsia="宋体" w:cs="宋体"/>
                <w:sz w:val="24"/>
                <w:szCs w:val="24"/>
              </w:rPr>
            </w:pPr>
            <w:r>
              <w:rPr>
                <w:rFonts w:hint="eastAsia"/>
                <w:sz w:val="20"/>
                <w:szCs w:val="20"/>
                <w:lang w:eastAsia="zh-CN"/>
              </w:rPr>
              <w:t>怀化市民族宗教事务局</w:t>
            </w:r>
            <w:r>
              <w:rPr>
                <w:rFonts w:hint="eastAsia"/>
                <w:sz w:val="20"/>
                <w:szCs w:val="20"/>
                <w:lang w:eastAsia="zh-CN"/>
              </w:rPr>
              <w:tab/>
            </w:r>
            <w:r>
              <w:rPr>
                <w:rFonts w:hint="eastAsia"/>
              </w:rPr>
              <w:t>　</w:t>
            </w:r>
          </w:p>
        </w:tc>
        <w:tc>
          <w:tcPr>
            <w:tcW w:w="2198"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535"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535" w:type="dxa"/>
            <w:tcBorders>
              <w:top w:val="nil"/>
              <w:left w:val="nil"/>
              <w:bottom w:val="nil"/>
              <w:right w:val="nil"/>
            </w:tcBorders>
            <w:shd w:val="clear" w:color="000000" w:fill="FFFFFF"/>
            <w:noWrap/>
            <w:tcMar>
              <w:top w:w="15" w:type="dxa"/>
              <w:left w:w="15" w:type="dxa"/>
              <w:bottom w:w="0" w:type="dxa"/>
              <w:right w:w="15" w:type="dxa"/>
            </w:tcMar>
            <w:vAlign w:val="center"/>
          </w:tcPr>
          <w:p>
            <w:pPr>
              <w:jc w:val="center"/>
              <w:rPr>
                <w:rFonts w:ascii="宋体" w:hAnsi="宋体" w:eastAsia="宋体" w:cs="宋体"/>
                <w:color w:val="000000"/>
                <w:sz w:val="20"/>
                <w:szCs w:val="20"/>
              </w:rPr>
            </w:pPr>
            <w:r>
              <w:rPr>
                <w:rFonts w:hint="eastAsia"/>
                <w:color w:val="000000"/>
                <w:sz w:val="20"/>
                <w:szCs w:val="20"/>
              </w:rPr>
              <w:t>　</w:t>
            </w:r>
          </w:p>
        </w:tc>
        <w:tc>
          <w:tcPr>
            <w:tcW w:w="1535"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535"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535"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347"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color w:val="000000"/>
                <w:sz w:val="20"/>
                <w:szCs w:val="20"/>
              </w:rPr>
            </w:pPr>
            <w:r>
              <w:rPr>
                <w:rFonts w:hint="eastAsia"/>
                <w:color w:val="000000"/>
                <w:sz w:val="20"/>
                <w:szCs w:val="20"/>
              </w:rPr>
              <w:t>单位：万元</w:t>
            </w:r>
          </w:p>
        </w:tc>
      </w:tr>
      <w:tr>
        <w:tblPrEx>
          <w:tblCellMar>
            <w:top w:w="0" w:type="dxa"/>
            <w:left w:w="0" w:type="dxa"/>
            <w:bottom w:w="0" w:type="dxa"/>
            <w:right w:w="0" w:type="dxa"/>
          </w:tblCellMar>
        </w:tblPrEx>
        <w:trPr>
          <w:trHeight w:val="450" w:hRule="atLeast"/>
        </w:trPr>
        <w:tc>
          <w:tcPr>
            <w:tcW w:w="3300" w:type="dxa"/>
            <w:gridSpan w:val="3"/>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项    目</w:t>
            </w:r>
          </w:p>
        </w:tc>
        <w:tc>
          <w:tcPr>
            <w:tcW w:w="2198"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本年收入合计</w:t>
            </w:r>
          </w:p>
        </w:tc>
        <w:tc>
          <w:tcPr>
            <w:tcW w:w="1535"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财政拨款收入</w:t>
            </w:r>
          </w:p>
        </w:tc>
        <w:tc>
          <w:tcPr>
            <w:tcW w:w="153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上级补助收入</w:t>
            </w:r>
          </w:p>
        </w:tc>
        <w:tc>
          <w:tcPr>
            <w:tcW w:w="153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事业收入</w:t>
            </w:r>
          </w:p>
        </w:tc>
        <w:tc>
          <w:tcPr>
            <w:tcW w:w="153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经营收入</w:t>
            </w:r>
          </w:p>
        </w:tc>
        <w:tc>
          <w:tcPr>
            <w:tcW w:w="153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附属单位上缴收入</w:t>
            </w:r>
          </w:p>
        </w:tc>
        <w:tc>
          <w:tcPr>
            <w:tcW w:w="1347"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其他收入</w:t>
            </w:r>
          </w:p>
        </w:tc>
      </w:tr>
      <w:tr>
        <w:tblPrEx>
          <w:tblCellMar>
            <w:top w:w="0" w:type="dxa"/>
            <w:left w:w="0" w:type="dxa"/>
            <w:bottom w:w="0" w:type="dxa"/>
            <w:right w:w="0" w:type="dxa"/>
          </w:tblCellMar>
        </w:tblPrEx>
        <w:trPr>
          <w:trHeight w:val="450" w:hRule="atLeast"/>
        </w:trPr>
        <w:tc>
          <w:tcPr>
            <w:tcW w:w="831"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功能分类科目编码</w:t>
            </w:r>
          </w:p>
        </w:tc>
        <w:tc>
          <w:tcPr>
            <w:tcW w:w="2469"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科目名称</w:t>
            </w:r>
          </w:p>
        </w:tc>
        <w:tc>
          <w:tcPr>
            <w:tcW w:w="2198"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Theme="minorEastAsia" w:hAnsiTheme="minorEastAsia" w:eastAsiaTheme="minorEastAsia" w:cstheme="minorEastAsia"/>
                <w:sz w:val="21"/>
                <w:szCs w:val="21"/>
              </w:rPr>
            </w:pPr>
          </w:p>
        </w:tc>
        <w:tc>
          <w:tcPr>
            <w:tcW w:w="1535"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Theme="minorEastAsia" w:hAnsiTheme="minorEastAsia" w:eastAsiaTheme="minorEastAsia" w:cstheme="minorEastAsia"/>
                <w:sz w:val="21"/>
                <w:szCs w:val="21"/>
              </w:rPr>
            </w:pPr>
          </w:p>
        </w:tc>
        <w:tc>
          <w:tcPr>
            <w:tcW w:w="1535"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Theme="minorEastAsia" w:hAnsiTheme="minorEastAsia" w:eastAsiaTheme="minorEastAsia" w:cstheme="minorEastAsia"/>
                <w:sz w:val="21"/>
                <w:szCs w:val="21"/>
              </w:rPr>
            </w:pPr>
          </w:p>
        </w:tc>
        <w:tc>
          <w:tcPr>
            <w:tcW w:w="1535"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Theme="minorEastAsia" w:hAnsiTheme="minorEastAsia" w:eastAsiaTheme="minorEastAsia" w:cstheme="minorEastAsia"/>
                <w:sz w:val="21"/>
                <w:szCs w:val="21"/>
              </w:rPr>
            </w:pPr>
          </w:p>
        </w:tc>
        <w:tc>
          <w:tcPr>
            <w:tcW w:w="1535"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Theme="minorEastAsia" w:hAnsiTheme="minorEastAsia" w:eastAsiaTheme="minorEastAsia" w:cstheme="minorEastAsia"/>
                <w:sz w:val="21"/>
                <w:szCs w:val="21"/>
              </w:rPr>
            </w:pPr>
          </w:p>
        </w:tc>
        <w:tc>
          <w:tcPr>
            <w:tcW w:w="1535"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Theme="minorEastAsia" w:hAnsiTheme="minorEastAsia" w:eastAsiaTheme="minorEastAsia" w:cstheme="minorEastAsia"/>
                <w:sz w:val="21"/>
                <w:szCs w:val="21"/>
              </w:rPr>
            </w:pPr>
          </w:p>
        </w:tc>
        <w:tc>
          <w:tcPr>
            <w:tcW w:w="1347"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450" w:hRule="atLeast"/>
        </w:trPr>
        <w:tc>
          <w:tcPr>
            <w:tcW w:w="831" w:type="dxa"/>
            <w:gridSpan w:val="2"/>
            <w:vMerge w:val="continue"/>
            <w:tcBorders>
              <w:top w:val="single" w:color="auto" w:sz="4" w:space="0"/>
              <w:left w:val="single" w:color="auto" w:sz="4" w:space="0"/>
              <w:bottom w:val="single" w:color="auto" w:sz="4" w:space="0"/>
              <w:right w:val="single" w:color="auto" w:sz="4" w:space="0"/>
            </w:tcBorders>
            <w:vAlign w:val="center"/>
          </w:tcPr>
          <w:p>
            <w:pPr>
              <w:rPr>
                <w:rFonts w:hint="eastAsia" w:asciiTheme="minorEastAsia" w:hAnsiTheme="minorEastAsia" w:eastAsiaTheme="minorEastAsia" w:cstheme="minorEastAsia"/>
                <w:sz w:val="21"/>
                <w:szCs w:val="21"/>
              </w:rPr>
            </w:pPr>
          </w:p>
        </w:tc>
        <w:tc>
          <w:tcPr>
            <w:tcW w:w="2469" w:type="dxa"/>
            <w:vMerge w:val="continue"/>
            <w:tcBorders>
              <w:top w:val="nil"/>
              <w:left w:val="single" w:color="auto" w:sz="4" w:space="0"/>
              <w:bottom w:val="single" w:color="auto" w:sz="4" w:space="0"/>
              <w:right w:val="single" w:color="auto" w:sz="4" w:space="0"/>
            </w:tcBorders>
            <w:vAlign w:val="center"/>
          </w:tcPr>
          <w:p>
            <w:pPr>
              <w:rPr>
                <w:rFonts w:hint="eastAsia" w:asciiTheme="minorEastAsia" w:hAnsiTheme="minorEastAsia" w:eastAsiaTheme="minorEastAsia" w:cstheme="minorEastAsia"/>
                <w:sz w:val="21"/>
                <w:szCs w:val="21"/>
              </w:rPr>
            </w:pPr>
          </w:p>
        </w:tc>
        <w:tc>
          <w:tcPr>
            <w:tcW w:w="2198"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Theme="minorEastAsia" w:hAnsiTheme="minorEastAsia" w:eastAsiaTheme="minorEastAsia" w:cstheme="minorEastAsia"/>
                <w:sz w:val="21"/>
                <w:szCs w:val="21"/>
              </w:rPr>
            </w:pPr>
          </w:p>
        </w:tc>
        <w:tc>
          <w:tcPr>
            <w:tcW w:w="1535"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Theme="minorEastAsia" w:hAnsiTheme="minorEastAsia" w:eastAsiaTheme="minorEastAsia" w:cstheme="minorEastAsia"/>
                <w:sz w:val="21"/>
                <w:szCs w:val="21"/>
              </w:rPr>
            </w:pPr>
          </w:p>
        </w:tc>
        <w:tc>
          <w:tcPr>
            <w:tcW w:w="1535"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Theme="minorEastAsia" w:hAnsiTheme="minorEastAsia" w:eastAsiaTheme="minorEastAsia" w:cstheme="minorEastAsia"/>
                <w:sz w:val="21"/>
                <w:szCs w:val="21"/>
              </w:rPr>
            </w:pPr>
          </w:p>
        </w:tc>
        <w:tc>
          <w:tcPr>
            <w:tcW w:w="1535"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Theme="minorEastAsia" w:hAnsiTheme="minorEastAsia" w:eastAsiaTheme="minorEastAsia" w:cstheme="minorEastAsia"/>
                <w:sz w:val="21"/>
                <w:szCs w:val="21"/>
              </w:rPr>
            </w:pPr>
          </w:p>
        </w:tc>
        <w:tc>
          <w:tcPr>
            <w:tcW w:w="1535"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Theme="minorEastAsia" w:hAnsiTheme="minorEastAsia" w:eastAsiaTheme="minorEastAsia" w:cstheme="minorEastAsia"/>
                <w:sz w:val="21"/>
                <w:szCs w:val="21"/>
              </w:rPr>
            </w:pPr>
          </w:p>
        </w:tc>
        <w:tc>
          <w:tcPr>
            <w:tcW w:w="1535"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Theme="minorEastAsia" w:hAnsiTheme="minorEastAsia" w:eastAsiaTheme="minorEastAsia" w:cstheme="minorEastAsia"/>
                <w:sz w:val="21"/>
                <w:szCs w:val="21"/>
              </w:rPr>
            </w:pPr>
          </w:p>
        </w:tc>
        <w:tc>
          <w:tcPr>
            <w:tcW w:w="1347"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450" w:hRule="atLeast"/>
        </w:trPr>
        <w:tc>
          <w:tcPr>
            <w:tcW w:w="3300"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栏次</w:t>
            </w:r>
          </w:p>
        </w:tc>
        <w:tc>
          <w:tcPr>
            <w:tcW w:w="219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p>
        </w:tc>
        <w:tc>
          <w:tcPr>
            <w:tcW w:w="153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p>
        </w:tc>
        <w:tc>
          <w:tcPr>
            <w:tcW w:w="153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w:t>
            </w:r>
          </w:p>
        </w:tc>
        <w:tc>
          <w:tcPr>
            <w:tcW w:w="153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w:t>
            </w:r>
          </w:p>
        </w:tc>
        <w:tc>
          <w:tcPr>
            <w:tcW w:w="153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w:t>
            </w:r>
          </w:p>
        </w:tc>
        <w:tc>
          <w:tcPr>
            <w:tcW w:w="153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6</w:t>
            </w:r>
          </w:p>
        </w:tc>
        <w:tc>
          <w:tcPr>
            <w:tcW w:w="134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7</w:t>
            </w:r>
          </w:p>
        </w:tc>
      </w:tr>
      <w:tr>
        <w:tblPrEx>
          <w:tblCellMar>
            <w:top w:w="0" w:type="dxa"/>
            <w:left w:w="0" w:type="dxa"/>
            <w:bottom w:w="0" w:type="dxa"/>
            <w:right w:w="0" w:type="dxa"/>
          </w:tblCellMar>
        </w:tblPrEx>
        <w:trPr>
          <w:trHeight w:val="450" w:hRule="atLeast"/>
        </w:trPr>
        <w:tc>
          <w:tcPr>
            <w:tcW w:w="3300"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合计</w:t>
            </w:r>
          </w:p>
        </w:tc>
        <w:tc>
          <w:tcPr>
            <w:tcW w:w="21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lang w:val="en-US" w:eastAsia="zh-CN"/>
              </w:rPr>
              <w:t>954.87</w:t>
            </w:r>
            <w:r>
              <w:rPr>
                <w:rFonts w:hint="eastAsia" w:asciiTheme="minorEastAsia" w:hAnsiTheme="minorEastAsia" w:eastAsiaTheme="minorEastAsia" w:cstheme="minorEastAsia"/>
                <w:b/>
                <w:bCs/>
                <w:sz w:val="21"/>
                <w:szCs w:val="21"/>
              </w:rPr>
              <w:t>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b/>
                <w:bCs/>
                <w:kern w:val="2"/>
                <w:sz w:val="21"/>
                <w:szCs w:val="21"/>
                <w:lang w:val="en-US" w:eastAsia="zh-CN" w:bidi="ar-SA"/>
              </w:rPr>
            </w:pPr>
            <w:r>
              <w:rPr>
                <w:rFonts w:hint="eastAsia" w:asciiTheme="minorEastAsia" w:hAnsiTheme="minorEastAsia" w:eastAsiaTheme="minorEastAsia" w:cstheme="minorEastAsia"/>
                <w:b/>
                <w:bCs/>
                <w:sz w:val="21"/>
                <w:szCs w:val="21"/>
                <w:lang w:val="en-US" w:eastAsia="zh-CN"/>
              </w:rPr>
              <w:t>954.87</w:t>
            </w:r>
            <w:r>
              <w:rPr>
                <w:rFonts w:hint="eastAsia" w:asciiTheme="minorEastAsia" w:hAnsiTheme="minorEastAsia" w:eastAsiaTheme="minorEastAsia" w:cstheme="minorEastAsia"/>
                <w:b/>
                <w:bCs/>
                <w:sz w:val="21"/>
                <w:szCs w:val="21"/>
              </w:rPr>
              <w:t>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w:t>
            </w:r>
          </w:p>
        </w:tc>
        <w:tc>
          <w:tcPr>
            <w:tcW w:w="13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w:t>
            </w:r>
          </w:p>
        </w:tc>
      </w:tr>
      <w:tr>
        <w:tblPrEx>
          <w:tblCellMar>
            <w:top w:w="0" w:type="dxa"/>
            <w:left w:w="0" w:type="dxa"/>
            <w:bottom w:w="0" w:type="dxa"/>
            <w:right w:w="0" w:type="dxa"/>
          </w:tblCellMar>
        </w:tblPrEx>
        <w:trPr>
          <w:trHeight w:val="90" w:hRule="atLeast"/>
        </w:trPr>
        <w:tc>
          <w:tcPr>
            <w:tcW w:w="83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t>　</w:t>
            </w:r>
            <w:r>
              <w:rPr>
                <w:rFonts w:hint="eastAsia" w:asciiTheme="minorEastAsia" w:hAnsiTheme="minorEastAsia" w:eastAsiaTheme="minorEastAsia" w:cstheme="minorEastAsia"/>
                <w:sz w:val="21"/>
                <w:szCs w:val="21"/>
                <w:lang w:val="en-US" w:eastAsia="zh-CN"/>
              </w:rPr>
              <w:t>201</w:t>
            </w:r>
          </w:p>
        </w:tc>
        <w:tc>
          <w:tcPr>
            <w:tcW w:w="246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　</w:t>
            </w:r>
            <w:r>
              <w:rPr>
                <w:rFonts w:hint="eastAsia" w:asciiTheme="minorEastAsia" w:hAnsiTheme="minorEastAsia" w:eastAsiaTheme="minorEastAsia" w:cstheme="minorEastAsia"/>
                <w:sz w:val="21"/>
                <w:szCs w:val="21"/>
                <w:lang w:eastAsia="zh-CN"/>
              </w:rPr>
              <w:t>一般公共服务支出</w:t>
            </w:r>
          </w:p>
        </w:tc>
        <w:tc>
          <w:tcPr>
            <w:tcW w:w="21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842.04</w:t>
            </w:r>
            <w:r>
              <w:rPr>
                <w:rFonts w:hint="eastAsia" w:asciiTheme="minorEastAsia" w:hAnsiTheme="minorEastAsia" w:eastAsiaTheme="minorEastAsia" w:cstheme="minorEastAsia"/>
                <w:sz w:val="21"/>
                <w:szCs w:val="21"/>
              </w:rPr>
              <w:t>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842.04</w:t>
            </w:r>
            <w:r>
              <w:rPr>
                <w:rFonts w:hint="eastAsia" w:asciiTheme="minorEastAsia" w:hAnsiTheme="minorEastAsia" w:eastAsiaTheme="minorEastAsia" w:cstheme="minorEastAsia"/>
                <w:sz w:val="21"/>
                <w:szCs w:val="21"/>
              </w:rPr>
              <w:t>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w:t>
            </w:r>
          </w:p>
        </w:tc>
        <w:tc>
          <w:tcPr>
            <w:tcW w:w="13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w:t>
            </w:r>
          </w:p>
        </w:tc>
      </w:tr>
      <w:tr>
        <w:tblPrEx>
          <w:tblCellMar>
            <w:top w:w="0" w:type="dxa"/>
            <w:left w:w="0" w:type="dxa"/>
            <w:bottom w:w="0" w:type="dxa"/>
            <w:right w:w="0" w:type="dxa"/>
          </w:tblCellMar>
        </w:tblPrEx>
        <w:trPr>
          <w:trHeight w:val="474" w:hRule="atLeast"/>
        </w:trPr>
        <w:tc>
          <w:tcPr>
            <w:tcW w:w="83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t>　</w:t>
            </w:r>
            <w:r>
              <w:rPr>
                <w:rFonts w:hint="eastAsia" w:asciiTheme="minorEastAsia" w:hAnsiTheme="minorEastAsia" w:eastAsiaTheme="minorEastAsia" w:cstheme="minorEastAsia"/>
                <w:sz w:val="21"/>
                <w:szCs w:val="21"/>
                <w:lang w:val="en-US" w:eastAsia="zh-CN"/>
              </w:rPr>
              <w:t>20123</w:t>
            </w:r>
          </w:p>
        </w:tc>
        <w:tc>
          <w:tcPr>
            <w:tcW w:w="246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　</w:t>
            </w:r>
            <w:r>
              <w:rPr>
                <w:rFonts w:hint="eastAsia" w:asciiTheme="minorEastAsia" w:hAnsiTheme="minorEastAsia" w:eastAsiaTheme="minorEastAsia" w:cstheme="minorEastAsia"/>
                <w:sz w:val="21"/>
                <w:szCs w:val="21"/>
                <w:lang w:eastAsia="zh-CN"/>
              </w:rPr>
              <w:t>民族事务</w:t>
            </w:r>
          </w:p>
        </w:tc>
        <w:tc>
          <w:tcPr>
            <w:tcW w:w="21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839.34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839.34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w:t>
            </w:r>
          </w:p>
        </w:tc>
        <w:tc>
          <w:tcPr>
            <w:tcW w:w="13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w:t>
            </w:r>
          </w:p>
        </w:tc>
      </w:tr>
      <w:tr>
        <w:tblPrEx>
          <w:tblCellMar>
            <w:top w:w="0" w:type="dxa"/>
            <w:left w:w="0" w:type="dxa"/>
            <w:bottom w:w="0" w:type="dxa"/>
            <w:right w:w="0" w:type="dxa"/>
          </w:tblCellMar>
        </w:tblPrEx>
        <w:trPr>
          <w:trHeight w:val="450" w:hRule="atLeast"/>
        </w:trPr>
        <w:tc>
          <w:tcPr>
            <w:tcW w:w="83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t>　</w:t>
            </w:r>
            <w:r>
              <w:rPr>
                <w:rFonts w:hint="eastAsia" w:asciiTheme="minorEastAsia" w:hAnsiTheme="minorEastAsia" w:eastAsiaTheme="minorEastAsia" w:cstheme="minorEastAsia"/>
                <w:sz w:val="21"/>
                <w:szCs w:val="21"/>
                <w:lang w:val="en-US" w:eastAsia="zh-CN"/>
              </w:rPr>
              <w:t>2012301</w:t>
            </w:r>
          </w:p>
        </w:tc>
        <w:tc>
          <w:tcPr>
            <w:tcW w:w="246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　</w:t>
            </w:r>
            <w:r>
              <w:rPr>
                <w:rFonts w:hint="eastAsia" w:asciiTheme="minorEastAsia" w:hAnsiTheme="minorEastAsia" w:eastAsiaTheme="minorEastAsia" w:cstheme="minorEastAsia"/>
                <w:sz w:val="21"/>
                <w:szCs w:val="21"/>
                <w:lang w:eastAsia="zh-CN"/>
              </w:rPr>
              <w:t>行政运行</w:t>
            </w:r>
          </w:p>
        </w:tc>
        <w:tc>
          <w:tcPr>
            <w:tcW w:w="21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350.28</w:t>
            </w:r>
            <w:r>
              <w:rPr>
                <w:rFonts w:hint="eastAsia" w:asciiTheme="minorEastAsia" w:hAnsiTheme="minorEastAsia" w:eastAsiaTheme="minorEastAsia" w:cstheme="minorEastAsia"/>
                <w:sz w:val="21"/>
                <w:szCs w:val="21"/>
              </w:rPr>
              <w:t>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350.28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w:t>
            </w:r>
          </w:p>
        </w:tc>
        <w:tc>
          <w:tcPr>
            <w:tcW w:w="13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w:t>
            </w:r>
          </w:p>
        </w:tc>
      </w:tr>
      <w:tr>
        <w:tblPrEx>
          <w:tblCellMar>
            <w:top w:w="0" w:type="dxa"/>
            <w:left w:w="0" w:type="dxa"/>
            <w:bottom w:w="0" w:type="dxa"/>
            <w:right w:w="0" w:type="dxa"/>
          </w:tblCellMar>
        </w:tblPrEx>
        <w:trPr>
          <w:trHeight w:val="450" w:hRule="atLeast"/>
        </w:trPr>
        <w:tc>
          <w:tcPr>
            <w:tcW w:w="83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t>　</w:t>
            </w:r>
            <w:r>
              <w:rPr>
                <w:rFonts w:hint="eastAsia" w:asciiTheme="minorEastAsia" w:hAnsiTheme="minorEastAsia" w:eastAsiaTheme="minorEastAsia" w:cstheme="minorEastAsia"/>
                <w:sz w:val="21"/>
                <w:szCs w:val="21"/>
                <w:lang w:val="en-US" w:eastAsia="zh-CN"/>
              </w:rPr>
              <w:t>2012302</w:t>
            </w:r>
          </w:p>
        </w:tc>
        <w:tc>
          <w:tcPr>
            <w:tcW w:w="246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 xml:space="preserve"> 一般行政管理事务</w:t>
            </w:r>
          </w:p>
        </w:tc>
        <w:tc>
          <w:tcPr>
            <w:tcW w:w="21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59.24</w:t>
            </w:r>
            <w:r>
              <w:rPr>
                <w:rFonts w:hint="eastAsia" w:asciiTheme="minorEastAsia" w:hAnsiTheme="minorEastAsia" w:eastAsiaTheme="minorEastAsia" w:cstheme="minorEastAsia"/>
                <w:sz w:val="21"/>
                <w:szCs w:val="21"/>
              </w:rPr>
              <w:t>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59.24</w:t>
            </w:r>
            <w:r>
              <w:rPr>
                <w:rFonts w:hint="eastAsia" w:asciiTheme="minorEastAsia" w:hAnsiTheme="minorEastAsia" w:eastAsiaTheme="minorEastAsia" w:cstheme="minorEastAsia"/>
                <w:sz w:val="21"/>
                <w:szCs w:val="21"/>
              </w:rPr>
              <w:t>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w:t>
            </w:r>
          </w:p>
        </w:tc>
        <w:tc>
          <w:tcPr>
            <w:tcW w:w="13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w:t>
            </w:r>
          </w:p>
        </w:tc>
      </w:tr>
      <w:tr>
        <w:tblPrEx>
          <w:tblCellMar>
            <w:top w:w="0" w:type="dxa"/>
            <w:left w:w="0" w:type="dxa"/>
            <w:bottom w:w="0" w:type="dxa"/>
            <w:right w:w="0" w:type="dxa"/>
          </w:tblCellMar>
        </w:tblPrEx>
        <w:trPr>
          <w:trHeight w:val="450" w:hRule="atLeast"/>
        </w:trPr>
        <w:tc>
          <w:tcPr>
            <w:tcW w:w="83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t>　</w:t>
            </w:r>
            <w:r>
              <w:rPr>
                <w:rFonts w:hint="eastAsia" w:asciiTheme="minorEastAsia" w:hAnsiTheme="minorEastAsia" w:eastAsiaTheme="minorEastAsia" w:cstheme="minorEastAsia"/>
                <w:sz w:val="21"/>
                <w:szCs w:val="21"/>
                <w:lang w:val="en-US" w:eastAsia="zh-CN"/>
              </w:rPr>
              <w:t>2012304</w:t>
            </w:r>
          </w:p>
        </w:tc>
        <w:tc>
          <w:tcPr>
            <w:tcW w:w="246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　</w:t>
            </w:r>
            <w:r>
              <w:rPr>
                <w:rFonts w:hint="eastAsia" w:asciiTheme="minorEastAsia" w:hAnsiTheme="minorEastAsia" w:eastAsiaTheme="minorEastAsia" w:cstheme="minorEastAsia"/>
                <w:sz w:val="21"/>
                <w:szCs w:val="21"/>
                <w:lang w:eastAsia="zh-CN"/>
              </w:rPr>
              <w:t>民族工作专项</w:t>
            </w:r>
          </w:p>
        </w:tc>
        <w:tc>
          <w:tcPr>
            <w:tcW w:w="21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48</w:t>
            </w:r>
            <w:r>
              <w:rPr>
                <w:rFonts w:hint="eastAsia" w:asciiTheme="minorEastAsia" w:hAnsiTheme="minorEastAsia" w:eastAsiaTheme="minorEastAsia" w:cstheme="minorEastAsia"/>
                <w:sz w:val="21"/>
                <w:szCs w:val="21"/>
              </w:rPr>
              <w:t>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48</w:t>
            </w:r>
            <w:r>
              <w:rPr>
                <w:rFonts w:hint="eastAsia" w:asciiTheme="minorEastAsia" w:hAnsiTheme="minorEastAsia" w:eastAsiaTheme="minorEastAsia" w:cstheme="minorEastAsia"/>
                <w:sz w:val="21"/>
                <w:szCs w:val="21"/>
              </w:rPr>
              <w:t>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w:t>
            </w:r>
          </w:p>
        </w:tc>
        <w:tc>
          <w:tcPr>
            <w:tcW w:w="13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w:t>
            </w:r>
          </w:p>
        </w:tc>
      </w:tr>
      <w:tr>
        <w:tblPrEx>
          <w:tblCellMar>
            <w:top w:w="0" w:type="dxa"/>
            <w:left w:w="0" w:type="dxa"/>
            <w:bottom w:w="0" w:type="dxa"/>
            <w:right w:w="0" w:type="dxa"/>
          </w:tblCellMar>
        </w:tblPrEx>
        <w:trPr>
          <w:trHeight w:val="588" w:hRule="atLeast"/>
        </w:trPr>
        <w:tc>
          <w:tcPr>
            <w:tcW w:w="83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t>　</w:t>
            </w:r>
            <w:r>
              <w:rPr>
                <w:rFonts w:hint="eastAsia" w:asciiTheme="minorEastAsia" w:hAnsiTheme="minorEastAsia" w:eastAsiaTheme="minorEastAsia" w:cstheme="minorEastAsia"/>
                <w:sz w:val="21"/>
                <w:szCs w:val="21"/>
                <w:lang w:val="en-US" w:eastAsia="zh-CN"/>
              </w:rPr>
              <w:t>2012399</w:t>
            </w:r>
          </w:p>
          <w:p>
            <w:pPr>
              <w:pStyle w:val="8"/>
              <w:rPr>
                <w:rFonts w:hint="eastAsia" w:asciiTheme="minorEastAsia" w:hAnsiTheme="minorEastAsia" w:eastAsiaTheme="minorEastAsia" w:cstheme="minorEastAsia"/>
                <w:sz w:val="21"/>
                <w:szCs w:val="21"/>
                <w:lang w:val="en-US" w:eastAsia="zh-CN"/>
              </w:rPr>
            </w:pPr>
          </w:p>
        </w:tc>
        <w:tc>
          <w:tcPr>
            <w:tcW w:w="246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其他民族事务支出</w:t>
            </w:r>
          </w:p>
        </w:tc>
        <w:tc>
          <w:tcPr>
            <w:tcW w:w="21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381.82</w:t>
            </w:r>
            <w:r>
              <w:rPr>
                <w:rFonts w:hint="eastAsia" w:asciiTheme="minorEastAsia" w:hAnsiTheme="minorEastAsia" w:eastAsiaTheme="minorEastAsia" w:cstheme="minorEastAsia"/>
                <w:sz w:val="21"/>
                <w:szCs w:val="21"/>
              </w:rPr>
              <w:t>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381.82</w:t>
            </w:r>
            <w:r>
              <w:rPr>
                <w:rFonts w:hint="eastAsia" w:asciiTheme="minorEastAsia" w:hAnsiTheme="minorEastAsia" w:eastAsiaTheme="minorEastAsia" w:cstheme="minorEastAsia"/>
                <w:sz w:val="21"/>
                <w:szCs w:val="21"/>
              </w:rPr>
              <w:t>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w:t>
            </w:r>
          </w:p>
        </w:tc>
        <w:tc>
          <w:tcPr>
            <w:tcW w:w="13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w:t>
            </w:r>
          </w:p>
        </w:tc>
      </w:tr>
      <w:tr>
        <w:tblPrEx>
          <w:tblCellMar>
            <w:top w:w="0" w:type="dxa"/>
            <w:left w:w="0" w:type="dxa"/>
            <w:bottom w:w="0" w:type="dxa"/>
            <w:right w:w="0" w:type="dxa"/>
          </w:tblCellMar>
        </w:tblPrEx>
        <w:trPr>
          <w:trHeight w:val="588" w:hRule="atLeast"/>
        </w:trPr>
        <w:tc>
          <w:tcPr>
            <w:tcW w:w="83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pStyle w:val="8"/>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20134</w:t>
            </w:r>
          </w:p>
        </w:tc>
        <w:tc>
          <w:tcPr>
            <w:tcW w:w="246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统战事务</w:t>
            </w:r>
          </w:p>
        </w:tc>
        <w:tc>
          <w:tcPr>
            <w:tcW w:w="21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2.7</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2.7</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rPr>
            </w:pPr>
          </w:p>
        </w:tc>
        <w:tc>
          <w:tcPr>
            <w:tcW w:w="13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rPr>
            </w:pPr>
          </w:p>
        </w:tc>
      </w:tr>
      <w:tr>
        <w:tblPrEx>
          <w:tblCellMar>
            <w:top w:w="0" w:type="dxa"/>
            <w:left w:w="0" w:type="dxa"/>
            <w:bottom w:w="0" w:type="dxa"/>
            <w:right w:w="0" w:type="dxa"/>
          </w:tblCellMar>
        </w:tblPrEx>
        <w:trPr>
          <w:trHeight w:val="588" w:hRule="atLeast"/>
        </w:trPr>
        <w:tc>
          <w:tcPr>
            <w:tcW w:w="83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pStyle w:val="8"/>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2013404</w:t>
            </w:r>
          </w:p>
        </w:tc>
        <w:tc>
          <w:tcPr>
            <w:tcW w:w="246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宗教事务</w:t>
            </w:r>
          </w:p>
        </w:tc>
        <w:tc>
          <w:tcPr>
            <w:tcW w:w="21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2.7</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2.7</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rPr>
            </w:pPr>
          </w:p>
        </w:tc>
        <w:tc>
          <w:tcPr>
            <w:tcW w:w="13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rPr>
            </w:pPr>
          </w:p>
        </w:tc>
      </w:tr>
      <w:tr>
        <w:tblPrEx>
          <w:tblCellMar>
            <w:top w:w="0" w:type="dxa"/>
            <w:left w:w="0" w:type="dxa"/>
            <w:bottom w:w="0" w:type="dxa"/>
            <w:right w:w="0" w:type="dxa"/>
          </w:tblCellMar>
        </w:tblPrEx>
        <w:trPr>
          <w:trHeight w:val="588" w:hRule="atLeast"/>
        </w:trPr>
        <w:tc>
          <w:tcPr>
            <w:tcW w:w="83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pStyle w:val="8"/>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208</w:t>
            </w:r>
          </w:p>
        </w:tc>
        <w:tc>
          <w:tcPr>
            <w:tcW w:w="246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社会保障和就业支出</w:t>
            </w:r>
          </w:p>
        </w:tc>
        <w:tc>
          <w:tcPr>
            <w:tcW w:w="21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66.11</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66.11</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rPr>
            </w:pPr>
          </w:p>
        </w:tc>
        <w:tc>
          <w:tcPr>
            <w:tcW w:w="13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rPr>
            </w:pPr>
          </w:p>
        </w:tc>
      </w:tr>
      <w:tr>
        <w:tblPrEx>
          <w:tblCellMar>
            <w:top w:w="0" w:type="dxa"/>
            <w:left w:w="0" w:type="dxa"/>
            <w:bottom w:w="0" w:type="dxa"/>
            <w:right w:w="0" w:type="dxa"/>
          </w:tblCellMar>
        </w:tblPrEx>
        <w:trPr>
          <w:trHeight w:val="588" w:hRule="atLeast"/>
        </w:trPr>
        <w:tc>
          <w:tcPr>
            <w:tcW w:w="83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pStyle w:val="8"/>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20805</w:t>
            </w:r>
          </w:p>
        </w:tc>
        <w:tc>
          <w:tcPr>
            <w:tcW w:w="246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行政事业单位养老支出</w:t>
            </w:r>
          </w:p>
        </w:tc>
        <w:tc>
          <w:tcPr>
            <w:tcW w:w="21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66.11</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66.11</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rPr>
            </w:pPr>
          </w:p>
        </w:tc>
        <w:tc>
          <w:tcPr>
            <w:tcW w:w="13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rPr>
            </w:pPr>
          </w:p>
        </w:tc>
      </w:tr>
      <w:tr>
        <w:tblPrEx>
          <w:tblCellMar>
            <w:top w:w="0" w:type="dxa"/>
            <w:left w:w="0" w:type="dxa"/>
            <w:bottom w:w="0" w:type="dxa"/>
            <w:right w:w="0" w:type="dxa"/>
          </w:tblCellMar>
        </w:tblPrEx>
        <w:trPr>
          <w:trHeight w:val="588" w:hRule="atLeast"/>
        </w:trPr>
        <w:tc>
          <w:tcPr>
            <w:tcW w:w="83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pStyle w:val="8"/>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2080501</w:t>
            </w:r>
          </w:p>
        </w:tc>
        <w:tc>
          <w:tcPr>
            <w:tcW w:w="246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行政单位离退休</w:t>
            </w:r>
          </w:p>
        </w:tc>
        <w:tc>
          <w:tcPr>
            <w:tcW w:w="219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26.14</w:t>
            </w:r>
          </w:p>
        </w:tc>
        <w:tc>
          <w:tcPr>
            <w:tcW w:w="153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26.14</w:t>
            </w:r>
          </w:p>
        </w:tc>
        <w:tc>
          <w:tcPr>
            <w:tcW w:w="153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rPr>
            </w:pPr>
          </w:p>
        </w:tc>
        <w:tc>
          <w:tcPr>
            <w:tcW w:w="153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rPr>
            </w:pPr>
          </w:p>
        </w:tc>
        <w:tc>
          <w:tcPr>
            <w:tcW w:w="153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rPr>
            </w:pPr>
          </w:p>
        </w:tc>
        <w:tc>
          <w:tcPr>
            <w:tcW w:w="153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rPr>
            </w:pPr>
          </w:p>
        </w:tc>
        <w:tc>
          <w:tcPr>
            <w:tcW w:w="134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rPr>
            </w:pPr>
          </w:p>
        </w:tc>
      </w:tr>
      <w:tr>
        <w:tblPrEx>
          <w:tblCellMar>
            <w:top w:w="0" w:type="dxa"/>
            <w:left w:w="0" w:type="dxa"/>
            <w:bottom w:w="0" w:type="dxa"/>
            <w:right w:w="0" w:type="dxa"/>
          </w:tblCellMar>
        </w:tblPrEx>
        <w:trPr>
          <w:trHeight w:val="588" w:hRule="atLeast"/>
        </w:trPr>
        <w:tc>
          <w:tcPr>
            <w:tcW w:w="83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pStyle w:val="8"/>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2080505</w:t>
            </w:r>
          </w:p>
        </w:tc>
        <w:tc>
          <w:tcPr>
            <w:tcW w:w="2469" w:type="dxa"/>
            <w:tcBorders>
              <w:top w:val="single" w:color="auto" w:sz="4" w:space="0"/>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机关事业单位基本养老保险缴费支出</w:t>
            </w:r>
          </w:p>
        </w:tc>
        <w:tc>
          <w:tcPr>
            <w:tcW w:w="2198"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37.45</w:t>
            </w:r>
          </w:p>
        </w:tc>
        <w:tc>
          <w:tcPr>
            <w:tcW w:w="1535"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37.45</w:t>
            </w:r>
          </w:p>
        </w:tc>
        <w:tc>
          <w:tcPr>
            <w:tcW w:w="1535"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rPr>
            </w:pPr>
          </w:p>
        </w:tc>
        <w:tc>
          <w:tcPr>
            <w:tcW w:w="1535"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rPr>
            </w:pPr>
          </w:p>
        </w:tc>
        <w:tc>
          <w:tcPr>
            <w:tcW w:w="1535"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rPr>
            </w:pPr>
          </w:p>
        </w:tc>
        <w:tc>
          <w:tcPr>
            <w:tcW w:w="1535"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rPr>
            </w:pPr>
          </w:p>
        </w:tc>
        <w:tc>
          <w:tcPr>
            <w:tcW w:w="1347"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rPr>
            </w:pPr>
          </w:p>
        </w:tc>
      </w:tr>
      <w:tr>
        <w:tblPrEx>
          <w:tblCellMar>
            <w:top w:w="0" w:type="dxa"/>
            <w:left w:w="0" w:type="dxa"/>
            <w:bottom w:w="0" w:type="dxa"/>
            <w:right w:w="0" w:type="dxa"/>
          </w:tblCellMar>
        </w:tblPrEx>
        <w:trPr>
          <w:trHeight w:val="588" w:hRule="atLeast"/>
        </w:trPr>
        <w:tc>
          <w:tcPr>
            <w:tcW w:w="83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pStyle w:val="8"/>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2080599</w:t>
            </w:r>
          </w:p>
        </w:tc>
        <w:tc>
          <w:tcPr>
            <w:tcW w:w="246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其他行政事业单位养老支出</w:t>
            </w:r>
          </w:p>
        </w:tc>
        <w:tc>
          <w:tcPr>
            <w:tcW w:w="21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2.52</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2.52</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rPr>
            </w:pPr>
          </w:p>
        </w:tc>
        <w:tc>
          <w:tcPr>
            <w:tcW w:w="13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rPr>
            </w:pPr>
          </w:p>
        </w:tc>
      </w:tr>
      <w:tr>
        <w:tblPrEx>
          <w:tblCellMar>
            <w:top w:w="0" w:type="dxa"/>
            <w:left w:w="0" w:type="dxa"/>
            <w:bottom w:w="0" w:type="dxa"/>
            <w:right w:w="0" w:type="dxa"/>
          </w:tblCellMar>
        </w:tblPrEx>
        <w:trPr>
          <w:trHeight w:val="588" w:hRule="atLeast"/>
        </w:trPr>
        <w:tc>
          <w:tcPr>
            <w:tcW w:w="83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pStyle w:val="8"/>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210</w:t>
            </w:r>
          </w:p>
        </w:tc>
        <w:tc>
          <w:tcPr>
            <w:tcW w:w="246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卫生健康支出</w:t>
            </w:r>
          </w:p>
        </w:tc>
        <w:tc>
          <w:tcPr>
            <w:tcW w:w="21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15.6</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15.6</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rPr>
            </w:pPr>
          </w:p>
        </w:tc>
        <w:tc>
          <w:tcPr>
            <w:tcW w:w="13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rPr>
            </w:pPr>
          </w:p>
        </w:tc>
      </w:tr>
      <w:tr>
        <w:tblPrEx>
          <w:tblCellMar>
            <w:top w:w="0" w:type="dxa"/>
            <w:left w:w="0" w:type="dxa"/>
            <w:bottom w:w="0" w:type="dxa"/>
            <w:right w:w="0" w:type="dxa"/>
          </w:tblCellMar>
        </w:tblPrEx>
        <w:trPr>
          <w:trHeight w:val="588" w:hRule="atLeast"/>
        </w:trPr>
        <w:tc>
          <w:tcPr>
            <w:tcW w:w="83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pStyle w:val="8"/>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21011</w:t>
            </w:r>
          </w:p>
        </w:tc>
        <w:tc>
          <w:tcPr>
            <w:tcW w:w="246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行政事业单位医疗</w:t>
            </w:r>
          </w:p>
        </w:tc>
        <w:tc>
          <w:tcPr>
            <w:tcW w:w="21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15.6</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15.6</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rPr>
            </w:pPr>
          </w:p>
        </w:tc>
        <w:tc>
          <w:tcPr>
            <w:tcW w:w="13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rPr>
            </w:pPr>
          </w:p>
        </w:tc>
      </w:tr>
      <w:tr>
        <w:tblPrEx>
          <w:tblCellMar>
            <w:top w:w="0" w:type="dxa"/>
            <w:left w:w="0" w:type="dxa"/>
            <w:bottom w:w="0" w:type="dxa"/>
            <w:right w:w="0" w:type="dxa"/>
          </w:tblCellMar>
        </w:tblPrEx>
        <w:trPr>
          <w:trHeight w:val="588" w:hRule="atLeast"/>
        </w:trPr>
        <w:tc>
          <w:tcPr>
            <w:tcW w:w="83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pStyle w:val="8"/>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2101101</w:t>
            </w:r>
          </w:p>
        </w:tc>
        <w:tc>
          <w:tcPr>
            <w:tcW w:w="246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行政单位医疗</w:t>
            </w:r>
          </w:p>
        </w:tc>
        <w:tc>
          <w:tcPr>
            <w:tcW w:w="21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15.6</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15.6</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rPr>
            </w:pPr>
          </w:p>
        </w:tc>
        <w:tc>
          <w:tcPr>
            <w:tcW w:w="13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rPr>
            </w:pPr>
          </w:p>
        </w:tc>
      </w:tr>
      <w:tr>
        <w:tblPrEx>
          <w:tblCellMar>
            <w:top w:w="0" w:type="dxa"/>
            <w:left w:w="0" w:type="dxa"/>
            <w:bottom w:w="0" w:type="dxa"/>
            <w:right w:w="0" w:type="dxa"/>
          </w:tblCellMar>
        </w:tblPrEx>
        <w:trPr>
          <w:trHeight w:val="588" w:hRule="atLeast"/>
        </w:trPr>
        <w:tc>
          <w:tcPr>
            <w:tcW w:w="83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pStyle w:val="8"/>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221</w:t>
            </w:r>
          </w:p>
        </w:tc>
        <w:tc>
          <w:tcPr>
            <w:tcW w:w="246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住房保障支出</w:t>
            </w:r>
          </w:p>
        </w:tc>
        <w:tc>
          <w:tcPr>
            <w:tcW w:w="21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31.11</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31.11</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rPr>
            </w:pPr>
          </w:p>
        </w:tc>
        <w:tc>
          <w:tcPr>
            <w:tcW w:w="13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rPr>
            </w:pPr>
          </w:p>
        </w:tc>
      </w:tr>
      <w:tr>
        <w:tblPrEx>
          <w:tblCellMar>
            <w:top w:w="0" w:type="dxa"/>
            <w:left w:w="0" w:type="dxa"/>
            <w:bottom w:w="0" w:type="dxa"/>
            <w:right w:w="0" w:type="dxa"/>
          </w:tblCellMar>
        </w:tblPrEx>
        <w:trPr>
          <w:trHeight w:val="588" w:hRule="atLeast"/>
        </w:trPr>
        <w:tc>
          <w:tcPr>
            <w:tcW w:w="83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pStyle w:val="8"/>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22102</w:t>
            </w:r>
          </w:p>
        </w:tc>
        <w:tc>
          <w:tcPr>
            <w:tcW w:w="246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住房改革支出</w:t>
            </w:r>
          </w:p>
        </w:tc>
        <w:tc>
          <w:tcPr>
            <w:tcW w:w="21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31.11</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31.11</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rPr>
            </w:pPr>
          </w:p>
        </w:tc>
        <w:tc>
          <w:tcPr>
            <w:tcW w:w="13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rPr>
            </w:pPr>
          </w:p>
        </w:tc>
      </w:tr>
      <w:tr>
        <w:tblPrEx>
          <w:tblCellMar>
            <w:top w:w="0" w:type="dxa"/>
            <w:left w:w="0" w:type="dxa"/>
            <w:bottom w:w="0" w:type="dxa"/>
            <w:right w:w="0" w:type="dxa"/>
          </w:tblCellMar>
        </w:tblPrEx>
        <w:trPr>
          <w:trHeight w:val="588" w:hRule="atLeast"/>
        </w:trPr>
        <w:tc>
          <w:tcPr>
            <w:tcW w:w="83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pStyle w:val="8"/>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2210201</w:t>
            </w:r>
          </w:p>
        </w:tc>
        <w:tc>
          <w:tcPr>
            <w:tcW w:w="246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住房公积金</w:t>
            </w:r>
          </w:p>
        </w:tc>
        <w:tc>
          <w:tcPr>
            <w:tcW w:w="21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31.11</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31.11</w:t>
            </w: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rPr>
            </w:pPr>
          </w:p>
        </w:tc>
        <w:tc>
          <w:tcPr>
            <w:tcW w:w="153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rPr>
            </w:pPr>
          </w:p>
        </w:tc>
        <w:tc>
          <w:tcPr>
            <w:tcW w:w="134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EastAsia" w:hAnsiTheme="minorEastAsia" w:eastAsiaTheme="minorEastAsia" w:cstheme="minorEastAsia"/>
                <w:sz w:val="21"/>
                <w:szCs w:val="21"/>
                <w:lang w:val="en-US"/>
              </w:rPr>
            </w:pPr>
          </w:p>
        </w:tc>
      </w:tr>
      <w:tr>
        <w:tblPrEx>
          <w:tblCellMar>
            <w:top w:w="0" w:type="dxa"/>
            <w:left w:w="0" w:type="dxa"/>
            <w:bottom w:w="0" w:type="dxa"/>
            <w:right w:w="0" w:type="dxa"/>
          </w:tblCellMar>
        </w:tblPrEx>
        <w:trPr>
          <w:trHeight w:val="615" w:hRule="atLeast"/>
        </w:trPr>
        <w:tc>
          <w:tcPr>
            <w:tcW w:w="14520" w:type="dxa"/>
            <w:gridSpan w:val="10"/>
            <w:tcBorders>
              <w:top w:val="nil"/>
              <w:left w:val="nil"/>
              <w:bottom w:val="nil"/>
              <w:right w:val="nil"/>
            </w:tcBorders>
            <w:shd w:val="clear" w:color="auto" w:fill="auto"/>
            <w:tcMar>
              <w:top w:w="15" w:type="dxa"/>
              <w:left w:w="15" w:type="dxa"/>
              <w:bottom w:w="0" w:type="dxa"/>
              <w:right w:w="15" w:type="dxa"/>
            </w:tcMar>
            <w:vAlign w:val="center"/>
          </w:tcPr>
          <w:p>
            <w:p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注：本表反映部门本年度取得的各项收入情况。</w:t>
            </w:r>
          </w:p>
        </w:tc>
      </w:tr>
    </w:tbl>
    <w:p>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tbl>
      <w:tblPr>
        <w:tblStyle w:val="11"/>
        <w:tblW w:w="14605" w:type="dxa"/>
        <w:jc w:val="center"/>
        <w:tblLayout w:type="fixed"/>
        <w:tblCellMar>
          <w:top w:w="0" w:type="dxa"/>
          <w:left w:w="108" w:type="dxa"/>
          <w:bottom w:w="0" w:type="dxa"/>
          <w:right w:w="108" w:type="dxa"/>
        </w:tblCellMar>
      </w:tblPr>
      <w:tblGrid>
        <w:gridCol w:w="1236"/>
        <w:gridCol w:w="263"/>
        <w:gridCol w:w="1481"/>
        <w:gridCol w:w="1952"/>
        <w:gridCol w:w="1991"/>
        <w:gridCol w:w="1991"/>
        <w:gridCol w:w="1991"/>
        <w:gridCol w:w="1991"/>
        <w:gridCol w:w="1709"/>
      </w:tblGrid>
      <w:tr>
        <w:tblPrEx>
          <w:tblCellMar>
            <w:top w:w="0" w:type="dxa"/>
            <w:left w:w="108" w:type="dxa"/>
            <w:bottom w:w="0" w:type="dxa"/>
            <w:right w:w="108" w:type="dxa"/>
          </w:tblCellMar>
        </w:tblPrEx>
        <w:trPr>
          <w:trHeight w:val="807" w:hRule="atLeast"/>
          <w:jc w:val="center"/>
        </w:trPr>
        <w:tc>
          <w:tcPr>
            <w:tcW w:w="14605" w:type="dxa"/>
            <w:gridSpan w:val="9"/>
            <w:tcBorders>
              <w:top w:val="nil"/>
              <w:left w:val="nil"/>
              <w:bottom w:val="nil"/>
              <w:right w:val="nil"/>
            </w:tcBorders>
            <w:shd w:val="clear" w:color="auto" w:fill="auto"/>
            <w:noWrap/>
            <w:vAlign w:val="center"/>
          </w:tcPr>
          <w:p>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支出决算表</w:t>
            </w:r>
          </w:p>
        </w:tc>
      </w:tr>
      <w:tr>
        <w:tblPrEx>
          <w:tblCellMar>
            <w:top w:w="0" w:type="dxa"/>
            <w:left w:w="108" w:type="dxa"/>
            <w:bottom w:w="0" w:type="dxa"/>
            <w:right w:w="108" w:type="dxa"/>
          </w:tblCellMar>
        </w:tblPrEx>
        <w:trPr>
          <w:trHeight w:val="403" w:hRule="atLeast"/>
          <w:jc w:val="center"/>
        </w:trPr>
        <w:tc>
          <w:tcPr>
            <w:tcW w:w="1236"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63"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81"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52"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09" w:type="dxa"/>
            <w:tcBorders>
              <w:top w:val="nil"/>
              <w:left w:val="nil"/>
              <w:bottom w:val="nil"/>
              <w:right w:val="nil"/>
            </w:tcBorders>
            <w:shd w:val="clear" w:color="000000" w:fill="FFFFFF"/>
            <w:noWrap/>
            <w:vAlign w:val="center"/>
          </w:tcPr>
          <w:p>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公开03表</w:t>
            </w:r>
          </w:p>
        </w:tc>
      </w:tr>
      <w:tr>
        <w:tblPrEx>
          <w:tblCellMar>
            <w:top w:w="0" w:type="dxa"/>
            <w:left w:w="108" w:type="dxa"/>
            <w:bottom w:w="0" w:type="dxa"/>
            <w:right w:w="108" w:type="dxa"/>
          </w:tblCellMar>
        </w:tblPrEx>
        <w:trPr>
          <w:trHeight w:val="438" w:hRule="atLeast"/>
          <w:jc w:val="center"/>
        </w:trPr>
        <w:tc>
          <w:tcPr>
            <w:tcW w:w="4932" w:type="dxa"/>
            <w:gridSpan w:val="4"/>
            <w:tcBorders>
              <w:top w:val="nil"/>
              <w:left w:val="nil"/>
              <w:bottom w:val="nil"/>
              <w:right w:val="nil"/>
            </w:tcBorders>
            <w:shd w:val="clear" w:color="000000" w:fill="FFFFFF"/>
            <w:noWrap/>
            <w:vAlign w:val="center"/>
          </w:tcPr>
          <w:p>
            <w:pPr>
              <w:widowControl/>
              <w:jc w:val="left"/>
              <w:rPr>
                <w:rFonts w:ascii="宋体" w:hAnsi="宋体" w:eastAsia="宋体" w:cs="宋体"/>
                <w:kern w:val="0"/>
                <w:sz w:val="24"/>
                <w:szCs w:val="24"/>
              </w:rPr>
            </w:pPr>
            <w:r>
              <w:rPr>
                <w:rFonts w:hint="eastAsia" w:ascii="宋体" w:hAnsi="宋体" w:eastAsia="宋体" w:cs="宋体"/>
                <w:color w:val="000000"/>
                <w:kern w:val="0"/>
                <w:sz w:val="20"/>
                <w:szCs w:val="20"/>
              </w:rPr>
              <w:t>部门：</w:t>
            </w:r>
            <w:r>
              <w:rPr>
                <w:rFonts w:hint="eastAsia" w:ascii="宋体" w:hAnsi="宋体" w:eastAsia="宋体" w:cs="宋体"/>
                <w:color w:val="000000"/>
                <w:kern w:val="0"/>
                <w:sz w:val="20"/>
                <w:szCs w:val="20"/>
                <w:lang w:val="en-US" w:eastAsia="zh-CN"/>
              </w:rPr>
              <w:t xml:space="preserve">   </w:t>
            </w:r>
            <w:r>
              <w:rPr>
                <w:rFonts w:hint="eastAsia"/>
                <w:sz w:val="20"/>
                <w:szCs w:val="20"/>
                <w:lang w:eastAsia="zh-CN"/>
              </w:rPr>
              <w:t>怀化市民族宗教事务局</w:t>
            </w:r>
            <w:r>
              <w:rPr>
                <w:rFonts w:hint="eastAsia"/>
                <w:lang w:eastAsia="zh-CN"/>
              </w:rPr>
              <w:tab/>
            </w:r>
          </w:p>
        </w:tc>
        <w:tc>
          <w:tcPr>
            <w:tcW w:w="1991"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p>
        </w:tc>
        <w:tc>
          <w:tcPr>
            <w:tcW w:w="1991" w:type="dxa"/>
            <w:tcBorders>
              <w:top w:val="nil"/>
              <w:left w:val="nil"/>
              <w:bottom w:val="nil"/>
              <w:right w:val="nil"/>
            </w:tcBorders>
            <w:shd w:val="clear" w:color="000000" w:fill="FFFFFF"/>
            <w:noWrap/>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991"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p>
        </w:tc>
        <w:tc>
          <w:tcPr>
            <w:tcW w:w="1991"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p>
        </w:tc>
        <w:tc>
          <w:tcPr>
            <w:tcW w:w="1709" w:type="dxa"/>
            <w:tcBorders>
              <w:top w:val="nil"/>
              <w:left w:val="nil"/>
              <w:bottom w:val="nil"/>
              <w:right w:val="nil"/>
            </w:tcBorders>
            <w:shd w:val="clear" w:color="000000" w:fill="FFFFFF"/>
            <w:noWrap/>
            <w:vAlign w:val="center"/>
          </w:tcPr>
          <w:p>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tblPrEx>
          <w:tblCellMar>
            <w:top w:w="0" w:type="dxa"/>
            <w:left w:w="108" w:type="dxa"/>
            <w:bottom w:w="0" w:type="dxa"/>
            <w:right w:w="108" w:type="dxa"/>
          </w:tblCellMar>
        </w:tblPrEx>
        <w:trPr>
          <w:trHeight w:val="595" w:hRule="atLeast"/>
          <w:jc w:val="center"/>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项    目</w:t>
            </w:r>
          </w:p>
        </w:tc>
        <w:tc>
          <w:tcPr>
            <w:tcW w:w="1952"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本年支出合计</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基本支出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项目支出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上缴上级支出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经营支出</w:t>
            </w:r>
          </w:p>
        </w:tc>
        <w:tc>
          <w:tcPr>
            <w:tcW w:w="1709"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对附属单位补助支出</w:t>
            </w:r>
          </w:p>
        </w:tc>
      </w:tr>
      <w:tr>
        <w:tblPrEx>
          <w:tblCellMar>
            <w:top w:w="0" w:type="dxa"/>
            <w:left w:w="108" w:type="dxa"/>
            <w:bottom w:w="0" w:type="dxa"/>
            <w:right w:w="108" w:type="dxa"/>
          </w:tblCellMar>
        </w:tblPrEx>
        <w:trPr>
          <w:trHeight w:val="595" w:hRule="atLeast"/>
          <w:jc w:val="center"/>
        </w:trPr>
        <w:tc>
          <w:tcPr>
            <w:tcW w:w="1499"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功能分类科目编码</w:t>
            </w:r>
          </w:p>
        </w:tc>
        <w:tc>
          <w:tcPr>
            <w:tcW w:w="1481" w:type="dxa"/>
            <w:vMerge w:val="restart"/>
            <w:tcBorders>
              <w:top w:val="nil"/>
              <w:left w:val="single" w:color="auto" w:sz="4" w:space="0"/>
              <w:bottom w:val="single" w:color="auto" w:sz="4" w:space="0"/>
              <w:right w:val="single" w:color="auto" w:sz="4" w:space="0"/>
            </w:tcBorders>
            <w:shd w:val="clear" w:color="000000" w:fill="FFFFFF"/>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科目名称</w:t>
            </w:r>
          </w:p>
        </w:tc>
        <w:tc>
          <w:tcPr>
            <w:tcW w:w="195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kern w:val="0"/>
                <w:sz w:val="21"/>
                <w:szCs w:val="21"/>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kern w:val="0"/>
                <w:sz w:val="21"/>
                <w:szCs w:val="21"/>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kern w:val="0"/>
                <w:sz w:val="21"/>
                <w:szCs w:val="21"/>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kern w:val="0"/>
                <w:sz w:val="21"/>
                <w:szCs w:val="21"/>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kern w:val="0"/>
                <w:sz w:val="21"/>
                <w:szCs w:val="21"/>
              </w:rPr>
            </w:pPr>
          </w:p>
        </w:tc>
        <w:tc>
          <w:tcPr>
            <w:tcW w:w="170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kern w:val="0"/>
                <w:sz w:val="21"/>
                <w:szCs w:val="21"/>
              </w:rPr>
            </w:pPr>
          </w:p>
        </w:tc>
      </w:tr>
      <w:tr>
        <w:tblPrEx>
          <w:tblCellMar>
            <w:top w:w="0" w:type="dxa"/>
            <w:left w:w="108" w:type="dxa"/>
            <w:bottom w:w="0" w:type="dxa"/>
            <w:right w:w="108" w:type="dxa"/>
          </w:tblCellMar>
        </w:tblPrEx>
        <w:trPr>
          <w:trHeight w:val="312" w:hRule="atLeast"/>
          <w:jc w:val="center"/>
        </w:trPr>
        <w:tc>
          <w:tcPr>
            <w:tcW w:w="1499"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kern w:val="0"/>
                <w:sz w:val="21"/>
                <w:szCs w:val="21"/>
              </w:rPr>
            </w:pPr>
          </w:p>
        </w:tc>
        <w:tc>
          <w:tcPr>
            <w:tcW w:w="1481"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kern w:val="0"/>
                <w:sz w:val="21"/>
                <w:szCs w:val="21"/>
              </w:rPr>
            </w:pPr>
          </w:p>
        </w:tc>
        <w:tc>
          <w:tcPr>
            <w:tcW w:w="195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kern w:val="0"/>
                <w:sz w:val="21"/>
                <w:szCs w:val="21"/>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kern w:val="0"/>
                <w:sz w:val="21"/>
                <w:szCs w:val="21"/>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kern w:val="0"/>
                <w:sz w:val="21"/>
                <w:szCs w:val="21"/>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kern w:val="0"/>
                <w:sz w:val="21"/>
                <w:szCs w:val="21"/>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kern w:val="0"/>
                <w:sz w:val="21"/>
                <w:szCs w:val="21"/>
              </w:rPr>
            </w:pPr>
          </w:p>
        </w:tc>
        <w:tc>
          <w:tcPr>
            <w:tcW w:w="170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kern w:val="0"/>
                <w:sz w:val="21"/>
                <w:szCs w:val="21"/>
              </w:rPr>
            </w:pPr>
          </w:p>
        </w:tc>
      </w:tr>
      <w:tr>
        <w:tblPrEx>
          <w:tblCellMar>
            <w:top w:w="0" w:type="dxa"/>
            <w:left w:w="108" w:type="dxa"/>
            <w:bottom w:w="0" w:type="dxa"/>
            <w:right w:w="108" w:type="dxa"/>
          </w:tblCellMar>
        </w:tblPrEx>
        <w:trPr>
          <w:trHeight w:val="595" w:hRule="atLeast"/>
          <w:jc w:val="center"/>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栏次</w:t>
            </w:r>
          </w:p>
        </w:tc>
        <w:tc>
          <w:tcPr>
            <w:tcW w:w="1952" w:type="dxa"/>
            <w:tcBorders>
              <w:top w:val="nil"/>
              <w:left w:val="nil"/>
              <w:bottom w:val="single" w:color="auto" w:sz="4" w:space="0"/>
              <w:right w:val="single" w:color="auto" w:sz="4" w:space="0"/>
            </w:tcBorders>
            <w:shd w:val="clear" w:color="000000" w:fill="FFFFFF"/>
            <w:noWrap/>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w:t>
            </w:r>
          </w:p>
        </w:tc>
        <w:tc>
          <w:tcPr>
            <w:tcW w:w="1991" w:type="dxa"/>
            <w:tcBorders>
              <w:top w:val="nil"/>
              <w:left w:val="nil"/>
              <w:bottom w:val="single" w:color="auto" w:sz="4" w:space="0"/>
              <w:right w:val="single" w:color="auto" w:sz="4" w:space="0"/>
            </w:tcBorders>
            <w:shd w:val="clear" w:color="000000" w:fill="FFFFFF"/>
            <w:noWrap/>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w:t>
            </w:r>
          </w:p>
        </w:tc>
        <w:tc>
          <w:tcPr>
            <w:tcW w:w="1991" w:type="dxa"/>
            <w:tcBorders>
              <w:top w:val="nil"/>
              <w:left w:val="nil"/>
              <w:bottom w:val="single" w:color="auto" w:sz="4" w:space="0"/>
              <w:right w:val="single" w:color="auto" w:sz="4" w:space="0"/>
            </w:tcBorders>
            <w:shd w:val="clear" w:color="000000" w:fill="FFFFFF"/>
            <w:noWrap/>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3</w:t>
            </w:r>
          </w:p>
        </w:tc>
        <w:tc>
          <w:tcPr>
            <w:tcW w:w="1991" w:type="dxa"/>
            <w:tcBorders>
              <w:top w:val="nil"/>
              <w:left w:val="nil"/>
              <w:bottom w:val="single" w:color="auto" w:sz="4" w:space="0"/>
              <w:right w:val="single" w:color="auto" w:sz="4" w:space="0"/>
            </w:tcBorders>
            <w:shd w:val="clear" w:color="000000" w:fill="FFFFFF"/>
            <w:noWrap/>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4</w:t>
            </w:r>
          </w:p>
        </w:tc>
        <w:tc>
          <w:tcPr>
            <w:tcW w:w="1991" w:type="dxa"/>
            <w:tcBorders>
              <w:top w:val="nil"/>
              <w:left w:val="nil"/>
              <w:bottom w:val="single" w:color="auto" w:sz="4" w:space="0"/>
              <w:right w:val="single" w:color="auto" w:sz="4" w:space="0"/>
            </w:tcBorders>
            <w:shd w:val="clear" w:color="000000" w:fill="FFFFFF"/>
            <w:noWrap/>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5</w:t>
            </w:r>
          </w:p>
        </w:tc>
        <w:tc>
          <w:tcPr>
            <w:tcW w:w="1709" w:type="dxa"/>
            <w:tcBorders>
              <w:top w:val="nil"/>
              <w:left w:val="nil"/>
              <w:bottom w:val="single" w:color="auto" w:sz="4" w:space="0"/>
              <w:right w:val="single" w:color="auto" w:sz="4" w:space="0"/>
            </w:tcBorders>
            <w:shd w:val="clear" w:color="000000" w:fill="FFFFFF"/>
            <w:noWrap/>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6</w:t>
            </w:r>
          </w:p>
        </w:tc>
      </w:tr>
      <w:tr>
        <w:tblPrEx>
          <w:tblCellMar>
            <w:top w:w="0" w:type="dxa"/>
            <w:left w:w="108" w:type="dxa"/>
            <w:bottom w:w="0" w:type="dxa"/>
            <w:right w:w="108" w:type="dxa"/>
          </w:tblCellMar>
        </w:tblPrEx>
        <w:trPr>
          <w:trHeight w:val="595" w:hRule="atLeast"/>
          <w:jc w:val="center"/>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合计</w:t>
            </w:r>
          </w:p>
        </w:tc>
        <w:tc>
          <w:tcPr>
            <w:tcW w:w="1952"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b/>
                <w:bCs/>
                <w:kern w:val="0"/>
                <w:sz w:val="21"/>
                <w:szCs w:val="21"/>
              </w:rPr>
            </w:pPr>
            <w:r>
              <w:rPr>
                <w:rFonts w:hint="eastAsia" w:asciiTheme="minorEastAsia" w:hAnsiTheme="minorEastAsia" w:eastAsiaTheme="minorEastAsia" w:cstheme="minorEastAsia"/>
                <w:b/>
                <w:bCs/>
                <w:kern w:val="0"/>
                <w:sz w:val="21"/>
                <w:szCs w:val="21"/>
                <w:lang w:val="en-US" w:eastAsia="zh-CN"/>
              </w:rPr>
              <w:t>954.87</w:t>
            </w:r>
            <w:r>
              <w:rPr>
                <w:rFonts w:hint="eastAsia" w:asciiTheme="minorEastAsia" w:hAnsiTheme="minorEastAsia" w:eastAsiaTheme="minorEastAsia" w:cstheme="minorEastAsia"/>
                <w:b/>
                <w:bCs/>
                <w:kern w:val="0"/>
                <w:sz w:val="21"/>
                <w:szCs w:val="21"/>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b/>
                <w:bCs/>
                <w:kern w:val="0"/>
                <w:sz w:val="21"/>
                <w:szCs w:val="21"/>
              </w:rPr>
            </w:pPr>
            <w:r>
              <w:rPr>
                <w:rFonts w:hint="eastAsia" w:asciiTheme="minorEastAsia" w:hAnsiTheme="minorEastAsia" w:eastAsiaTheme="minorEastAsia" w:cstheme="minorEastAsia"/>
                <w:b/>
                <w:bCs/>
                <w:kern w:val="0"/>
                <w:sz w:val="21"/>
                <w:szCs w:val="21"/>
                <w:lang w:val="en-US" w:eastAsia="zh-CN"/>
              </w:rPr>
              <w:t>463.93</w:t>
            </w:r>
            <w:r>
              <w:rPr>
                <w:rFonts w:hint="eastAsia" w:asciiTheme="minorEastAsia" w:hAnsiTheme="minorEastAsia" w:eastAsiaTheme="minorEastAsia" w:cstheme="minorEastAsia"/>
                <w:b/>
                <w:bCs/>
                <w:kern w:val="0"/>
                <w:sz w:val="21"/>
                <w:szCs w:val="21"/>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b/>
                <w:bCs/>
                <w:kern w:val="0"/>
                <w:sz w:val="21"/>
                <w:szCs w:val="21"/>
              </w:rPr>
            </w:pPr>
            <w:r>
              <w:rPr>
                <w:rFonts w:hint="eastAsia" w:asciiTheme="minorEastAsia" w:hAnsiTheme="minorEastAsia" w:eastAsiaTheme="minorEastAsia" w:cstheme="minorEastAsia"/>
                <w:b/>
                <w:bCs/>
                <w:kern w:val="0"/>
                <w:sz w:val="21"/>
                <w:szCs w:val="21"/>
                <w:lang w:val="en-US" w:eastAsia="zh-CN"/>
              </w:rPr>
              <w:t>490.94</w:t>
            </w:r>
            <w:r>
              <w:rPr>
                <w:rFonts w:hint="eastAsia" w:asciiTheme="minorEastAsia" w:hAnsiTheme="minorEastAsia" w:eastAsiaTheme="minorEastAsia" w:cstheme="minorEastAsia"/>
                <w:b/>
                <w:bCs/>
                <w:kern w:val="0"/>
                <w:sz w:val="21"/>
                <w:szCs w:val="21"/>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1709"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r>
      <w:tr>
        <w:tblPrEx>
          <w:tblCellMar>
            <w:top w:w="0" w:type="dxa"/>
            <w:left w:w="108" w:type="dxa"/>
            <w:bottom w:w="0" w:type="dxa"/>
            <w:right w:w="108" w:type="dxa"/>
          </w:tblCellMar>
        </w:tblPrEx>
        <w:trPr>
          <w:trHeight w:val="595" w:hRule="atLeast"/>
          <w:jc w:val="center"/>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rPr>
              <w:t>　</w:t>
            </w:r>
            <w:r>
              <w:rPr>
                <w:rFonts w:hint="eastAsia" w:asciiTheme="minorEastAsia" w:hAnsiTheme="minorEastAsia" w:eastAsiaTheme="minorEastAsia" w:cstheme="minorEastAsia"/>
                <w:sz w:val="21"/>
                <w:szCs w:val="21"/>
                <w:lang w:val="en-US" w:eastAsia="zh-CN"/>
              </w:rPr>
              <w:t>201</w:t>
            </w:r>
          </w:p>
        </w:tc>
        <w:tc>
          <w:tcPr>
            <w:tcW w:w="1481" w:type="dxa"/>
            <w:tcBorders>
              <w:top w:val="nil"/>
              <w:left w:val="nil"/>
              <w:bottom w:val="single" w:color="auto" w:sz="4" w:space="0"/>
              <w:right w:val="single" w:color="auto" w:sz="4" w:space="0"/>
            </w:tcBorders>
            <w:shd w:val="clear" w:color="000000" w:fill="FFFFFF"/>
            <w:noWrap/>
            <w:vAlign w:val="center"/>
          </w:tcPr>
          <w:p>
            <w:pP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rPr>
              <w:t>　</w:t>
            </w:r>
            <w:r>
              <w:rPr>
                <w:rFonts w:hint="eastAsia" w:asciiTheme="minorEastAsia" w:hAnsiTheme="minorEastAsia" w:eastAsiaTheme="minorEastAsia" w:cstheme="minorEastAsia"/>
                <w:sz w:val="21"/>
                <w:szCs w:val="21"/>
                <w:lang w:eastAsia="zh-CN"/>
              </w:rPr>
              <w:t>一般公共服务支出</w:t>
            </w:r>
          </w:p>
        </w:tc>
        <w:tc>
          <w:tcPr>
            <w:tcW w:w="1952" w:type="dxa"/>
            <w:tcBorders>
              <w:top w:val="nil"/>
              <w:left w:val="nil"/>
              <w:bottom w:val="single" w:color="auto" w:sz="4" w:space="0"/>
              <w:right w:val="single" w:color="auto" w:sz="4" w:space="0"/>
            </w:tcBorders>
            <w:shd w:val="clear" w:color="auto" w:fill="auto"/>
            <w:noWrap/>
            <w:vAlign w:val="center"/>
          </w:tcPr>
          <w:p>
            <w:pPr>
              <w:jc w:val="right"/>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842.04</w:t>
            </w:r>
            <w:r>
              <w:rPr>
                <w:rFonts w:hint="eastAsia" w:asciiTheme="minorEastAsia" w:hAnsiTheme="minorEastAsia" w:eastAsiaTheme="minorEastAsia" w:cstheme="minorEastAsia"/>
                <w:sz w:val="21"/>
                <w:szCs w:val="21"/>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lang w:val="en-US" w:eastAsia="zh-CN"/>
              </w:rPr>
              <w:t>351.11</w:t>
            </w:r>
            <w:r>
              <w:rPr>
                <w:rFonts w:hint="eastAsia" w:asciiTheme="minorEastAsia" w:hAnsiTheme="minorEastAsia" w:eastAsiaTheme="minorEastAsia" w:cstheme="minorEastAsia"/>
                <w:kern w:val="0"/>
                <w:sz w:val="21"/>
                <w:szCs w:val="21"/>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lang w:val="en-US" w:eastAsia="zh-CN"/>
              </w:rPr>
              <w:t>490.94</w:t>
            </w:r>
            <w:r>
              <w:rPr>
                <w:rFonts w:hint="eastAsia" w:asciiTheme="minorEastAsia" w:hAnsiTheme="minorEastAsia" w:eastAsiaTheme="minorEastAsia" w:cstheme="minorEastAsia"/>
                <w:kern w:val="0"/>
                <w:sz w:val="21"/>
                <w:szCs w:val="21"/>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1709"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r>
      <w:tr>
        <w:tblPrEx>
          <w:tblCellMar>
            <w:top w:w="0" w:type="dxa"/>
            <w:left w:w="108" w:type="dxa"/>
            <w:bottom w:w="0" w:type="dxa"/>
            <w:right w:w="108" w:type="dxa"/>
          </w:tblCellMar>
        </w:tblPrEx>
        <w:trPr>
          <w:trHeight w:val="595" w:hRule="atLeast"/>
          <w:jc w:val="center"/>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rPr>
              <w:t>　</w:t>
            </w:r>
            <w:r>
              <w:rPr>
                <w:rFonts w:hint="eastAsia" w:asciiTheme="minorEastAsia" w:hAnsiTheme="minorEastAsia" w:eastAsiaTheme="minorEastAsia" w:cstheme="minorEastAsia"/>
                <w:sz w:val="21"/>
                <w:szCs w:val="21"/>
                <w:lang w:val="en-US" w:eastAsia="zh-CN"/>
              </w:rPr>
              <w:t>20123</w:t>
            </w:r>
          </w:p>
        </w:tc>
        <w:tc>
          <w:tcPr>
            <w:tcW w:w="1481" w:type="dxa"/>
            <w:tcBorders>
              <w:top w:val="nil"/>
              <w:left w:val="nil"/>
              <w:bottom w:val="single" w:color="auto" w:sz="4" w:space="0"/>
              <w:right w:val="single" w:color="auto" w:sz="4" w:space="0"/>
            </w:tcBorders>
            <w:shd w:val="clear" w:color="000000" w:fill="FFFFFF"/>
            <w:noWrap/>
            <w:vAlign w:val="center"/>
          </w:tcPr>
          <w:p>
            <w:pP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rPr>
              <w:t>　</w:t>
            </w:r>
            <w:r>
              <w:rPr>
                <w:rFonts w:hint="eastAsia" w:asciiTheme="minorEastAsia" w:hAnsiTheme="minorEastAsia" w:eastAsiaTheme="minorEastAsia" w:cstheme="minorEastAsia"/>
                <w:sz w:val="21"/>
                <w:szCs w:val="21"/>
                <w:lang w:eastAsia="zh-CN"/>
              </w:rPr>
              <w:t>民族事务</w:t>
            </w:r>
          </w:p>
        </w:tc>
        <w:tc>
          <w:tcPr>
            <w:tcW w:w="1952" w:type="dxa"/>
            <w:tcBorders>
              <w:top w:val="nil"/>
              <w:left w:val="nil"/>
              <w:bottom w:val="single" w:color="auto" w:sz="4" w:space="0"/>
              <w:right w:val="single" w:color="auto" w:sz="4" w:space="0"/>
            </w:tcBorders>
            <w:shd w:val="clear" w:color="auto" w:fill="auto"/>
            <w:noWrap/>
            <w:vAlign w:val="center"/>
          </w:tcPr>
          <w:p>
            <w:pPr>
              <w:jc w:val="right"/>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839.34</w:t>
            </w:r>
            <w:r>
              <w:rPr>
                <w:rFonts w:hint="eastAsia" w:asciiTheme="minorEastAsia" w:hAnsiTheme="minorEastAsia" w:eastAsiaTheme="minorEastAsia" w:cstheme="minorEastAsia"/>
                <w:sz w:val="21"/>
                <w:szCs w:val="21"/>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lang w:val="en-US" w:eastAsia="zh-CN"/>
              </w:rPr>
              <w:t>351.11</w:t>
            </w:r>
            <w:r>
              <w:rPr>
                <w:rFonts w:hint="eastAsia" w:asciiTheme="minorEastAsia" w:hAnsiTheme="minorEastAsia" w:eastAsiaTheme="minorEastAsia" w:cstheme="minorEastAsia"/>
                <w:kern w:val="0"/>
                <w:sz w:val="21"/>
                <w:szCs w:val="21"/>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lang w:val="en-US" w:eastAsia="zh-CN"/>
              </w:rPr>
              <w:t>488.24</w:t>
            </w:r>
            <w:r>
              <w:rPr>
                <w:rFonts w:hint="eastAsia" w:asciiTheme="minorEastAsia" w:hAnsiTheme="minorEastAsia" w:eastAsiaTheme="minorEastAsia" w:cstheme="minorEastAsia"/>
                <w:kern w:val="0"/>
                <w:sz w:val="21"/>
                <w:szCs w:val="21"/>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1709"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r>
      <w:tr>
        <w:tblPrEx>
          <w:tblCellMar>
            <w:top w:w="0" w:type="dxa"/>
            <w:left w:w="108" w:type="dxa"/>
            <w:bottom w:w="0" w:type="dxa"/>
            <w:right w:w="108" w:type="dxa"/>
          </w:tblCellMar>
        </w:tblPrEx>
        <w:trPr>
          <w:trHeight w:val="595" w:hRule="atLeast"/>
          <w:jc w:val="center"/>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rPr>
              <w:t>　</w:t>
            </w:r>
            <w:r>
              <w:rPr>
                <w:rFonts w:hint="eastAsia" w:asciiTheme="minorEastAsia" w:hAnsiTheme="minorEastAsia" w:eastAsiaTheme="minorEastAsia" w:cstheme="minorEastAsia"/>
                <w:sz w:val="21"/>
                <w:szCs w:val="21"/>
                <w:lang w:val="en-US" w:eastAsia="zh-CN"/>
              </w:rPr>
              <w:t>2012301</w:t>
            </w:r>
          </w:p>
        </w:tc>
        <w:tc>
          <w:tcPr>
            <w:tcW w:w="1481" w:type="dxa"/>
            <w:tcBorders>
              <w:top w:val="nil"/>
              <w:left w:val="nil"/>
              <w:bottom w:val="single" w:color="auto" w:sz="4" w:space="0"/>
              <w:right w:val="single" w:color="auto" w:sz="4" w:space="0"/>
            </w:tcBorders>
            <w:shd w:val="clear" w:color="000000" w:fill="FFFFFF"/>
            <w:noWrap/>
            <w:vAlign w:val="center"/>
          </w:tcPr>
          <w:p>
            <w:pP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rPr>
              <w:t>　</w:t>
            </w:r>
            <w:r>
              <w:rPr>
                <w:rFonts w:hint="eastAsia" w:asciiTheme="minorEastAsia" w:hAnsiTheme="minorEastAsia" w:eastAsiaTheme="minorEastAsia" w:cstheme="minorEastAsia"/>
                <w:sz w:val="21"/>
                <w:szCs w:val="21"/>
                <w:lang w:eastAsia="zh-CN"/>
              </w:rPr>
              <w:t>行政运行</w:t>
            </w:r>
          </w:p>
        </w:tc>
        <w:tc>
          <w:tcPr>
            <w:tcW w:w="1952" w:type="dxa"/>
            <w:tcBorders>
              <w:top w:val="nil"/>
              <w:left w:val="nil"/>
              <w:bottom w:val="single" w:color="auto" w:sz="4" w:space="0"/>
              <w:right w:val="single" w:color="auto" w:sz="4" w:space="0"/>
            </w:tcBorders>
            <w:shd w:val="clear" w:color="auto" w:fill="auto"/>
            <w:noWrap/>
            <w:vAlign w:val="center"/>
          </w:tcPr>
          <w:p>
            <w:pPr>
              <w:jc w:val="right"/>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350.28</w:t>
            </w:r>
            <w:r>
              <w:rPr>
                <w:rFonts w:hint="eastAsia" w:asciiTheme="minorEastAsia" w:hAnsiTheme="minorEastAsia" w:eastAsiaTheme="minorEastAsia" w:cstheme="minorEastAsia"/>
                <w:sz w:val="21"/>
                <w:szCs w:val="21"/>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lang w:val="en-US" w:eastAsia="zh-CN"/>
              </w:rPr>
              <w:t>350.28</w:t>
            </w:r>
            <w:r>
              <w:rPr>
                <w:rFonts w:hint="eastAsia" w:asciiTheme="minorEastAsia" w:hAnsiTheme="minorEastAsia" w:eastAsiaTheme="minorEastAsia" w:cstheme="minorEastAsia"/>
                <w:kern w:val="0"/>
                <w:sz w:val="21"/>
                <w:szCs w:val="21"/>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1709"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r>
      <w:tr>
        <w:tblPrEx>
          <w:tblCellMar>
            <w:top w:w="0" w:type="dxa"/>
            <w:left w:w="108" w:type="dxa"/>
            <w:bottom w:w="0" w:type="dxa"/>
            <w:right w:w="108" w:type="dxa"/>
          </w:tblCellMar>
        </w:tblPrEx>
        <w:trPr>
          <w:trHeight w:val="595" w:hRule="atLeast"/>
          <w:jc w:val="center"/>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rPr>
              <w:t>　</w:t>
            </w:r>
            <w:r>
              <w:rPr>
                <w:rFonts w:hint="eastAsia" w:asciiTheme="minorEastAsia" w:hAnsiTheme="minorEastAsia" w:eastAsiaTheme="minorEastAsia" w:cstheme="minorEastAsia"/>
                <w:sz w:val="21"/>
                <w:szCs w:val="21"/>
                <w:lang w:val="en-US" w:eastAsia="zh-CN"/>
              </w:rPr>
              <w:t>2012302</w:t>
            </w:r>
          </w:p>
        </w:tc>
        <w:tc>
          <w:tcPr>
            <w:tcW w:w="1481" w:type="dxa"/>
            <w:tcBorders>
              <w:top w:val="nil"/>
              <w:left w:val="nil"/>
              <w:bottom w:val="single" w:color="auto" w:sz="4" w:space="0"/>
              <w:right w:val="single" w:color="auto" w:sz="4" w:space="0"/>
            </w:tcBorders>
            <w:shd w:val="clear" w:color="000000" w:fill="FFFFFF"/>
            <w:noWrap/>
            <w:vAlign w:val="center"/>
          </w:tcPr>
          <w:p>
            <w:pP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 xml:space="preserve"> 一般行政管理事务</w:t>
            </w:r>
          </w:p>
        </w:tc>
        <w:tc>
          <w:tcPr>
            <w:tcW w:w="1952" w:type="dxa"/>
            <w:tcBorders>
              <w:top w:val="nil"/>
              <w:left w:val="nil"/>
              <w:bottom w:val="single" w:color="auto" w:sz="4" w:space="0"/>
              <w:right w:val="single" w:color="auto" w:sz="4" w:space="0"/>
            </w:tcBorders>
            <w:shd w:val="clear" w:color="auto" w:fill="auto"/>
            <w:noWrap/>
            <w:vAlign w:val="center"/>
          </w:tcPr>
          <w:p>
            <w:pPr>
              <w:jc w:val="right"/>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59.24</w:t>
            </w:r>
            <w:r>
              <w:rPr>
                <w:rFonts w:hint="eastAsia" w:asciiTheme="minorEastAsia" w:hAnsiTheme="minorEastAsia" w:eastAsiaTheme="minorEastAsia" w:cstheme="minorEastAsia"/>
                <w:sz w:val="21"/>
                <w:szCs w:val="21"/>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lang w:val="en-US" w:eastAsia="zh-CN"/>
              </w:rPr>
              <w:t>59.24</w:t>
            </w:r>
            <w:r>
              <w:rPr>
                <w:rFonts w:hint="eastAsia" w:asciiTheme="minorEastAsia" w:hAnsiTheme="minorEastAsia" w:eastAsiaTheme="minorEastAsia" w:cstheme="minorEastAsia"/>
                <w:kern w:val="0"/>
                <w:sz w:val="21"/>
                <w:szCs w:val="21"/>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1709"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r>
      <w:tr>
        <w:tblPrEx>
          <w:tblCellMar>
            <w:top w:w="0" w:type="dxa"/>
            <w:left w:w="108" w:type="dxa"/>
            <w:bottom w:w="0" w:type="dxa"/>
            <w:right w:w="108" w:type="dxa"/>
          </w:tblCellMar>
        </w:tblPrEx>
        <w:trPr>
          <w:trHeight w:val="595" w:hRule="atLeast"/>
          <w:jc w:val="center"/>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rPr>
              <w:t>　</w:t>
            </w:r>
            <w:r>
              <w:rPr>
                <w:rFonts w:hint="eastAsia" w:asciiTheme="minorEastAsia" w:hAnsiTheme="minorEastAsia" w:eastAsiaTheme="minorEastAsia" w:cstheme="minorEastAsia"/>
                <w:sz w:val="21"/>
                <w:szCs w:val="21"/>
                <w:lang w:val="en-US" w:eastAsia="zh-CN"/>
              </w:rPr>
              <w:t>2012304</w:t>
            </w:r>
          </w:p>
        </w:tc>
        <w:tc>
          <w:tcPr>
            <w:tcW w:w="1481" w:type="dxa"/>
            <w:tcBorders>
              <w:top w:val="nil"/>
              <w:left w:val="nil"/>
              <w:bottom w:val="single" w:color="auto" w:sz="4" w:space="0"/>
              <w:right w:val="single" w:color="auto" w:sz="4" w:space="0"/>
            </w:tcBorders>
            <w:shd w:val="clear" w:color="000000" w:fill="FFFFFF"/>
            <w:noWrap/>
            <w:vAlign w:val="center"/>
          </w:tcPr>
          <w:p>
            <w:pP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rPr>
              <w:t>　</w:t>
            </w:r>
            <w:r>
              <w:rPr>
                <w:rFonts w:hint="eastAsia" w:asciiTheme="minorEastAsia" w:hAnsiTheme="minorEastAsia" w:eastAsiaTheme="minorEastAsia" w:cstheme="minorEastAsia"/>
                <w:sz w:val="21"/>
                <w:szCs w:val="21"/>
                <w:lang w:eastAsia="zh-CN"/>
              </w:rPr>
              <w:t>民族工作专项</w:t>
            </w:r>
          </w:p>
        </w:tc>
        <w:tc>
          <w:tcPr>
            <w:tcW w:w="1952" w:type="dxa"/>
            <w:tcBorders>
              <w:top w:val="nil"/>
              <w:left w:val="nil"/>
              <w:bottom w:val="single" w:color="auto" w:sz="4" w:space="0"/>
              <w:right w:val="single" w:color="auto" w:sz="4" w:space="0"/>
            </w:tcBorders>
            <w:shd w:val="clear" w:color="auto" w:fill="auto"/>
            <w:noWrap/>
            <w:vAlign w:val="center"/>
          </w:tcPr>
          <w:p>
            <w:pPr>
              <w:jc w:val="right"/>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48</w:t>
            </w:r>
            <w:r>
              <w:rPr>
                <w:rFonts w:hint="eastAsia" w:asciiTheme="minorEastAsia" w:hAnsiTheme="minorEastAsia" w:eastAsiaTheme="minorEastAsia" w:cstheme="minorEastAsia"/>
                <w:sz w:val="21"/>
                <w:szCs w:val="21"/>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lang w:val="en-US" w:eastAsia="zh-CN"/>
              </w:rPr>
              <w:t>48</w:t>
            </w:r>
            <w:r>
              <w:rPr>
                <w:rFonts w:hint="eastAsia" w:asciiTheme="minorEastAsia" w:hAnsiTheme="minorEastAsia" w:eastAsiaTheme="minorEastAsia" w:cstheme="minorEastAsia"/>
                <w:kern w:val="0"/>
                <w:sz w:val="21"/>
                <w:szCs w:val="21"/>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1709"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r>
      <w:tr>
        <w:tblPrEx>
          <w:tblCellMar>
            <w:top w:w="0" w:type="dxa"/>
            <w:left w:w="108" w:type="dxa"/>
            <w:bottom w:w="0" w:type="dxa"/>
            <w:right w:w="108" w:type="dxa"/>
          </w:tblCellMar>
        </w:tblPrEx>
        <w:trPr>
          <w:trHeight w:val="595" w:hRule="atLeast"/>
          <w:jc w:val="center"/>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t>　</w:t>
            </w:r>
            <w:r>
              <w:rPr>
                <w:rFonts w:hint="eastAsia" w:asciiTheme="minorEastAsia" w:hAnsiTheme="minorEastAsia" w:eastAsiaTheme="minorEastAsia" w:cstheme="minorEastAsia"/>
                <w:sz w:val="21"/>
                <w:szCs w:val="21"/>
                <w:lang w:val="en-US" w:eastAsia="zh-CN"/>
              </w:rPr>
              <w:t>2012399</w:t>
            </w:r>
          </w:p>
          <w:p>
            <w:pPr>
              <w:pStyle w:val="8"/>
              <w:rPr>
                <w:rFonts w:hint="eastAsia" w:asciiTheme="minorEastAsia" w:hAnsiTheme="minorEastAsia" w:eastAsiaTheme="minorEastAsia" w:cstheme="minorEastAsia"/>
                <w:kern w:val="2"/>
                <w:sz w:val="21"/>
                <w:szCs w:val="21"/>
                <w:lang w:val="en-US" w:eastAsia="zh-CN" w:bidi="ar-SA"/>
              </w:rPr>
            </w:pPr>
          </w:p>
        </w:tc>
        <w:tc>
          <w:tcPr>
            <w:tcW w:w="1481" w:type="dxa"/>
            <w:tcBorders>
              <w:top w:val="nil"/>
              <w:left w:val="nil"/>
              <w:bottom w:val="single" w:color="auto" w:sz="4" w:space="0"/>
              <w:right w:val="single" w:color="auto" w:sz="4" w:space="0"/>
            </w:tcBorders>
            <w:shd w:val="clear" w:color="000000" w:fill="FFFFFF"/>
            <w:noWrap/>
            <w:vAlign w:val="center"/>
          </w:tcPr>
          <w:p>
            <w:pP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eastAsia="zh-CN"/>
              </w:rPr>
              <w:t>其他民族事务支出</w:t>
            </w:r>
          </w:p>
        </w:tc>
        <w:tc>
          <w:tcPr>
            <w:tcW w:w="1952" w:type="dxa"/>
            <w:tcBorders>
              <w:top w:val="nil"/>
              <w:left w:val="nil"/>
              <w:bottom w:val="single" w:color="auto" w:sz="4" w:space="0"/>
              <w:right w:val="single" w:color="auto" w:sz="4" w:space="0"/>
            </w:tcBorders>
            <w:shd w:val="clear" w:color="auto" w:fill="auto"/>
            <w:noWrap/>
            <w:vAlign w:val="center"/>
          </w:tcPr>
          <w:p>
            <w:pPr>
              <w:jc w:val="right"/>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381.82</w:t>
            </w:r>
            <w:r>
              <w:rPr>
                <w:rFonts w:hint="eastAsia" w:asciiTheme="minorEastAsia" w:hAnsiTheme="minorEastAsia" w:eastAsiaTheme="minorEastAsia" w:cstheme="minorEastAsia"/>
                <w:sz w:val="21"/>
                <w:szCs w:val="21"/>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lang w:val="en-US" w:eastAsia="zh-CN"/>
              </w:rPr>
              <w:t>0.83</w:t>
            </w:r>
            <w:r>
              <w:rPr>
                <w:rFonts w:hint="eastAsia" w:asciiTheme="minorEastAsia" w:hAnsiTheme="minorEastAsia" w:eastAsiaTheme="minorEastAsia" w:cstheme="minorEastAsia"/>
                <w:kern w:val="0"/>
                <w:sz w:val="21"/>
                <w:szCs w:val="21"/>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lang w:val="en-US" w:eastAsia="zh-CN"/>
              </w:rPr>
              <w:t>380.99</w:t>
            </w:r>
            <w:r>
              <w:rPr>
                <w:rFonts w:hint="eastAsia" w:asciiTheme="minorEastAsia" w:hAnsiTheme="minorEastAsia" w:eastAsiaTheme="minorEastAsia" w:cstheme="minorEastAsia"/>
                <w:kern w:val="0"/>
                <w:sz w:val="21"/>
                <w:szCs w:val="21"/>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1709"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r>
      <w:tr>
        <w:tblPrEx>
          <w:tblCellMar>
            <w:top w:w="0" w:type="dxa"/>
            <w:left w:w="108" w:type="dxa"/>
            <w:bottom w:w="0" w:type="dxa"/>
            <w:right w:w="108" w:type="dxa"/>
          </w:tblCellMar>
        </w:tblPrEx>
        <w:trPr>
          <w:trHeight w:val="595" w:hRule="atLeast"/>
          <w:jc w:val="center"/>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pStyle w:val="8"/>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20134</w:t>
            </w:r>
          </w:p>
        </w:tc>
        <w:tc>
          <w:tcPr>
            <w:tcW w:w="1481" w:type="dxa"/>
            <w:tcBorders>
              <w:top w:val="nil"/>
              <w:left w:val="nil"/>
              <w:bottom w:val="single" w:color="auto" w:sz="4" w:space="0"/>
              <w:right w:val="single" w:color="auto" w:sz="4" w:space="0"/>
            </w:tcBorders>
            <w:shd w:val="clear" w:color="000000" w:fill="FFFFFF"/>
            <w:noWrap/>
            <w:vAlign w:val="center"/>
          </w:tcPr>
          <w:p>
            <w:pP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统战事务</w:t>
            </w:r>
          </w:p>
        </w:tc>
        <w:tc>
          <w:tcPr>
            <w:tcW w:w="1952" w:type="dxa"/>
            <w:tcBorders>
              <w:top w:val="nil"/>
              <w:left w:val="nil"/>
              <w:bottom w:val="single" w:color="auto" w:sz="4" w:space="0"/>
              <w:right w:val="single" w:color="auto" w:sz="4" w:space="0"/>
            </w:tcBorders>
            <w:shd w:val="clear" w:color="auto" w:fill="auto"/>
            <w:noWrap/>
            <w:vAlign w:val="center"/>
          </w:tcPr>
          <w:p>
            <w:pPr>
              <w:jc w:val="right"/>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2.7</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2.7</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p>
        </w:tc>
        <w:tc>
          <w:tcPr>
            <w:tcW w:w="1709"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p>
        </w:tc>
      </w:tr>
      <w:tr>
        <w:tblPrEx>
          <w:tblCellMar>
            <w:top w:w="0" w:type="dxa"/>
            <w:left w:w="108" w:type="dxa"/>
            <w:bottom w:w="0" w:type="dxa"/>
            <w:right w:w="108" w:type="dxa"/>
          </w:tblCellMar>
        </w:tblPrEx>
        <w:trPr>
          <w:trHeight w:val="595" w:hRule="atLeast"/>
          <w:jc w:val="center"/>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pStyle w:val="8"/>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2013404</w:t>
            </w:r>
          </w:p>
        </w:tc>
        <w:tc>
          <w:tcPr>
            <w:tcW w:w="1481" w:type="dxa"/>
            <w:tcBorders>
              <w:top w:val="nil"/>
              <w:left w:val="nil"/>
              <w:bottom w:val="single" w:color="auto" w:sz="4" w:space="0"/>
              <w:right w:val="single" w:color="auto" w:sz="4" w:space="0"/>
            </w:tcBorders>
            <w:shd w:val="clear" w:color="000000" w:fill="FFFFFF"/>
            <w:noWrap/>
            <w:vAlign w:val="center"/>
          </w:tcPr>
          <w:p>
            <w:pP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宗教事务</w:t>
            </w:r>
          </w:p>
        </w:tc>
        <w:tc>
          <w:tcPr>
            <w:tcW w:w="1952" w:type="dxa"/>
            <w:tcBorders>
              <w:top w:val="nil"/>
              <w:left w:val="nil"/>
              <w:bottom w:val="single" w:color="auto" w:sz="4" w:space="0"/>
              <w:right w:val="single" w:color="auto" w:sz="4" w:space="0"/>
            </w:tcBorders>
            <w:shd w:val="clear" w:color="auto" w:fill="auto"/>
            <w:noWrap/>
            <w:vAlign w:val="center"/>
          </w:tcPr>
          <w:p>
            <w:pPr>
              <w:jc w:val="right"/>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2.7</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2.7</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p>
        </w:tc>
        <w:tc>
          <w:tcPr>
            <w:tcW w:w="1709"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p>
        </w:tc>
      </w:tr>
      <w:tr>
        <w:tblPrEx>
          <w:tblCellMar>
            <w:top w:w="0" w:type="dxa"/>
            <w:left w:w="108" w:type="dxa"/>
            <w:bottom w:w="0" w:type="dxa"/>
            <w:right w:w="108" w:type="dxa"/>
          </w:tblCellMar>
        </w:tblPrEx>
        <w:trPr>
          <w:trHeight w:val="595" w:hRule="atLeast"/>
          <w:jc w:val="center"/>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pStyle w:val="8"/>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208</w:t>
            </w:r>
          </w:p>
        </w:tc>
        <w:tc>
          <w:tcPr>
            <w:tcW w:w="1481"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社会保障和就业支出</w:t>
            </w:r>
          </w:p>
        </w:tc>
        <w:tc>
          <w:tcPr>
            <w:tcW w:w="1952"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66.11</w:t>
            </w:r>
          </w:p>
        </w:tc>
        <w:tc>
          <w:tcPr>
            <w:tcW w:w="199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66.11</w:t>
            </w:r>
          </w:p>
        </w:tc>
        <w:tc>
          <w:tcPr>
            <w:tcW w:w="199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p>
        </w:tc>
        <w:tc>
          <w:tcPr>
            <w:tcW w:w="199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p>
        </w:tc>
        <w:tc>
          <w:tcPr>
            <w:tcW w:w="199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p>
        </w:tc>
        <w:tc>
          <w:tcPr>
            <w:tcW w:w="170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p>
        </w:tc>
      </w:tr>
      <w:tr>
        <w:tblPrEx>
          <w:tblCellMar>
            <w:top w:w="0" w:type="dxa"/>
            <w:left w:w="108" w:type="dxa"/>
            <w:bottom w:w="0" w:type="dxa"/>
            <w:right w:w="108" w:type="dxa"/>
          </w:tblCellMar>
        </w:tblPrEx>
        <w:trPr>
          <w:trHeight w:val="595" w:hRule="atLeast"/>
          <w:jc w:val="center"/>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pStyle w:val="8"/>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20805</w:t>
            </w:r>
          </w:p>
        </w:tc>
        <w:tc>
          <w:tcPr>
            <w:tcW w:w="1481"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行政事业单位养老支出</w:t>
            </w:r>
          </w:p>
        </w:tc>
        <w:tc>
          <w:tcPr>
            <w:tcW w:w="1952"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66.11</w:t>
            </w:r>
          </w:p>
        </w:tc>
        <w:tc>
          <w:tcPr>
            <w:tcW w:w="199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66.11</w:t>
            </w:r>
          </w:p>
        </w:tc>
        <w:tc>
          <w:tcPr>
            <w:tcW w:w="199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p>
        </w:tc>
        <w:tc>
          <w:tcPr>
            <w:tcW w:w="199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p>
        </w:tc>
        <w:tc>
          <w:tcPr>
            <w:tcW w:w="1991"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p>
        </w:tc>
        <w:tc>
          <w:tcPr>
            <w:tcW w:w="170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p>
        </w:tc>
      </w:tr>
      <w:tr>
        <w:tblPrEx>
          <w:tblCellMar>
            <w:top w:w="0" w:type="dxa"/>
            <w:left w:w="108" w:type="dxa"/>
            <w:bottom w:w="0" w:type="dxa"/>
            <w:right w:w="108" w:type="dxa"/>
          </w:tblCellMar>
        </w:tblPrEx>
        <w:trPr>
          <w:trHeight w:val="595" w:hRule="atLeast"/>
          <w:jc w:val="center"/>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pStyle w:val="8"/>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2080501</w:t>
            </w:r>
          </w:p>
        </w:tc>
        <w:tc>
          <w:tcPr>
            <w:tcW w:w="1481" w:type="dxa"/>
            <w:tcBorders>
              <w:top w:val="single" w:color="auto" w:sz="4" w:space="0"/>
              <w:left w:val="nil"/>
              <w:bottom w:val="single" w:color="auto" w:sz="4" w:space="0"/>
              <w:right w:val="single" w:color="auto" w:sz="4" w:space="0"/>
            </w:tcBorders>
            <w:shd w:val="clear" w:color="000000" w:fill="FFFFFF"/>
            <w:noWrap/>
            <w:vAlign w:val="center"/>
          </w:tcPr>
          <w:p>
            <w:pP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行政单位离退休</w:t>
            </w:r>
          </w:p>
        </w:tc>
        <w:tc>
          <w:tcPr>
            <w:tcW w:w="1952" w:type="dxa"/>
            <w:tcBorders>
              <w:top w:val="single" w:color="auto" w:sz="4" w:space="0"/>
              <w:left w:val="nil"/>
              <w:bottom w:val="single" w:color="auto" w:sz="4" w:space="0"/>
              <w:right w:val="single" w:color="auto" w:sz="4" w:space="0"/>
            </w:tcBorders>
            <w:shd w:val="clear" w:color="auto" w:fill="auto"/>
            <w:noWrap/>
            <w:vAlign w:val="center"/>
          </w:tcPr>
          <w:p>
            <w:pPr>
              <w:jc w:val="right"/>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26.14</w:t>
            </w:r>
          </w:p>
        </w:tc>
        <w:tc>
          <w:tcPr>
            <w:tcW w:w="1991" w:type="dxa"/>
            <w:tcBorders>
              <w:top w:val="single" w:color="auto" w:sz="4" w:space="0"/>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26.14</w:t>
            </w:r>
          </w:p>
        </w:tc>
        <w:tc>
          <w:tcPr>
            <w:tcW w:w="1991" w:type="dxa"/>
            <w:tcBorders>
              <w:top w:val="single" w:color="auto" w:sz="4" w:space="0"/>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p>
        </w:tc>
        <w:tc>
          <w:tcPr>
            <w:tcW w:w="1991" w:type="dxa"/>
            <w:tcBorders>
              <w:top w:val="single" w:color="auto" w:sz="4" w:space="0"/>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p>
        </w:tc>
        <w:tc>
          <w:tcPr>
            <w:tcW w:w="1991" w:type="dxa"/>
            <w:tcBorders>
              <w:top w:val="single" w:color="auto" w:sz="4" w:space="0"/>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p>
        </w:tc>
        <w:tc>
          <w:tcPr>
            <w:tcW w:w="1709" w:type="dxa"/>
            <w:tcBorders>
              <w:top w:val="single" w:color="auto" w:sz="4" w:space="0"/>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p>
        </w:tc>
      </w:tr>
      <w:tr>
        <w:tblPrEx>
          <w:tblCellMar>
            <w:top w:w="0" w:type="dxa"/>
            <w:left w:w="108" w:type="dxa"/>
            <w:bottom w:w="0" w:type="dxa"/>
            <w:right w:w="108" w:type="dxa"/>
          </w:tblCellMar>
        </w:tblPrEx>
        <w:trPr>
          <w:trHeight w:val="595" w:hRule="atLeast"/>
          <w:jc w:val="center"/>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pStyle w:val="8"/>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2080505</w:t>
            </w:r>
          </w:p>
        </w:tc>
        <w:tc>
          <w:tcPr>
            <w:tcW w:w="1481" w:type="dxa"/>
            <w:tcBorders>
              <w:top w:val="nil"/>
              <w:left w:val="nil"/>
              <w:bottom w:val="single" w:color="auto" w:sz="4" w:space="0"/>
              <w:right w:val="single" w:color="auto" w:sz="4" w:space="0"/>
            </w:tcBorders>
            <w:shd w:val="clear" w:color="000000" w:fill="FFFFFF"/>
            <w:noWrap/>
            <w:vAlign w:val="center"/>
          </w:tcPr>
          <w:p>
            <w:pP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机关事业单位基本养老保险缴费支出</w:t>
            </w:r>
          </w:p>
        </w:tc>
        <w:tc>
          <w:tcPr>
            <w:tcW w:w="1952" w:type="dxa"/>
            <w:tcBorders>
              <w:top w:val="nil"/>
              <w:left w:val="nil"/>
              <w:bottom w:val="single" w:color="auto" w:sz="4" w:space="0"/>
              <w:right w:val="single" w:color="auto" w:sz="4" w:space="0"/>
            </w:tcBorders>
            <w:shd w:val="clear" w:color="auto" w:fill="auto"/>
            <w:noWrap/>
            <w:vAlign w:val="center"/>
          </w:tcPr>
          <w:p>
            <w:pPr>
              <w:jc w:val="right"/>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37.45</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37.45</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p>
        </w:tc>
        <w:tc>
          <w:tcPr>
            <w:tcW w:w="1709"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p>
        </w:tc>
      </w:tr>
      <w:tr>
        <w:tblPrEx>
          <w:tblCellMar>
            <w:top w:w="0" w:type="dxa"/>
            <w:left w:w="108" w:type="dxa"/>
            <w:bottom w:w="0" w:type="dxa"/>
            <w:right w:w="108" w:type="dxa"/>
          </w:tblCellMar>
        </w:tblPrEx>
        <w:trPr>
          <w:trHeight w:val="595" w:hRule="atLeast"/>
          <w:jc w:val="center"/>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pStyle w:val="8"/>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2080599</w:t>
            </w:r>
          </w:p>
        </w:tc>
        <w:tc>
          <w:tcPr>
            <w:tcW w:w="1481" w:type="dxa"/>
            <w:tcBorders>
              <w:top w:val="nil"/>
              <w:left w:val="nil"/>
              <w:bottom w:val="single" w:color="auto" w:sz="4" w:space="0"/>
              <w:right w:val="single" w:color="auto" w:sz="4" w:space="0"/>
            </w:tcBorders>
            <w:shd w:val="clear" w:color="000000" w:fill="FFFFFF"/>
            <w:noWrap/>
            <w:vAlign w:val="center"/>
          </w:tcPr>
          <w:p>
            <w:pP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其他行政事业单位养老支出</w:t>
            </w:r>
          </w:p>
        </w:tc>
        <w:tc>
          <w:tcPr>
            <w:tcW w:w="1952" w:type="dxa"/>
            <w:tcBorders>
              <w:top w:val="nil"/>
              <w:left w:val="nil"/>
              <w:bottom w:val="single" w:color="auto" w:sz="4" w:space="0"/>
              <w:right w:val="single" w:color="auto" w:sz="4" w:space="0"/>
            </w:tcBorders>
            <w:shd w:val="clear" w:color="auto" w:fill="auto"/>
            <w:noWrap/>
            <w:vAlign w:val="center"/>
          </w:tcPr>
          <w:p>
            <w:pPr>
              <w:jc w:val="right"/>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2.52</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2.52</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p>
        </w:tc>
        <w:tc>
          <w:tcPr>
            <w:tcW w:w="1709"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p>
        </w:tc>
      </w:tr>
      <w:tr>
        <w:tblPrEx>
          <w:tblCellMar>
            <w:top w:w="0" w:type="dxa"/>
            <w:left w:w="108" w:type="dxa"/>
            <w:bottom w:w="0" w:type="dxa"/>
            <w:right w:w="108" w:type="dxa"/>
          </w:tblCellMar>
        </w:tblPrEx>
        <w:trPr>
          <w:trHeight w:val="595" w:hRule="atLeast"/>
          <w:jc w:val="center"/>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pStyle w:val="8"/>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210</w:t>
            </w:r>
          </w:p>
        </w:tc>
        <w:tc>
          <w:tcPr>
            <w:tcW w:w="1481" w:type="dxa"/>
            <w:tcBorders>
              <w:top w:val="nil"/>
              <w:left w:val="nil"/>
              <w:bottom w:val="single" w:color="auto" w:sz="4" w:space="0"/>
              <w:right w:val="single" w:color="auto" w:sz="4" w:space="0"/>
            </w:tcBorders>
            <w:shd w:val="clear" w:color="000000" w:fill="FFFFFF"/>
            <w:noWrap/>
            <w:vAlign w:val="center"/>
          </w:tcPr>
          <w:p>
            <w:pP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卫生健康支出</w:t>
            </w:r>
          </w:p>
        </w:tc>
        <w:tc>
          <w:tcPr>
            <w:tcW w:w="1952" w:type="dxa"/>
            <w:tcBorders>
              <w:top w:val="nil"/>
              <w:left w:val="nil"/>
              <w:bottom w:val="single" w:color="auto" w:sz="4" w:space="0"/>
              <w:right w:val="single" w:color="auto" w:sz="4" w:space="0"/>
            </w:tcBorders>
            <w:shd w:val="clear" w:color="auto" w:fill="auto"/>
            <w:noWrap/>
            <w:vAlign w:val="center"/>
          </w:tcPr>
          <w:p>
            <w:pPr>
              <w:jc w:val="right"/>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15.6</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15.6</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p>
        </w:tc>
        <w:tc>
          <w:tcPr>
            <w:tcW w:w="1709"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p>
        </w:tc>
      </w:tr>
      <w:tr>
        <w:tblPrEx>
          <w:tblCellMar>
            <w:top w:w="0" w:type="dxa"/>
            <w:left w:w="108" w:type="dxa"/>
            <w:bottom w:w="0" w:type="dxa"/>
            <w:right w:w="108" w:type="dxa"/>
          </w:tblCellMar>
        </w:tblPrEx>
        <w:trPr>
          <w:trHeight w:val="595" w:hRule="atLeast"/>
          <w:jc w:val="center"/>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pStyle w:val="8"/>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21011</w:t>
            </w:r>
          </w:p>
        </w:tc>
        <w:tc>
          <w:tcPr>
            <w:tcW w:w="1481" w:type="dxa"/>
            <w:tcBorders>
              <w:top w:val="nil"/>
              <w:left w:val="nil"/>
              <w:bottom w:val="single" w:color="auto" w:sz="4" w:space="0"/>
              <w:right w:val="single" w:color="auto" w:sz="4" w:space="0"/>
            </w:tcBorders>
            <w:shd w:val="clear" w:color="000000" w:fill="FFFFFF"/>
            <w:noWrap/>
            <w:vAlign w:val="center"/>
          </w:tcPr>
          <w:p>
            <w:pP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行政事业单位医疗</w:t>
            </w:r>
          </w:p>
        </w:tc>
        <w:tc>
          <w:tcPr>
            <w:tcW w:w="1952" w:type="dxa"/>
            <w:tcBorders>
              <w:top w:val="nil"/>
              <w:left w:val="nil"/>
              <w:bottom w:val="single" w:color="auto" w:sz="4" w:space="0"/>
              <w:right w:val="single" w:color="auto" w:sz="4" w:space="0"/>
            </w:tcBorders>
            <w:shd w:val="clear" w:color="auto" w:fill="auto"/>
            <w:noWrap/>
            <w:vAlign w:val="center"/>
          </w:tcPr>
          <w:p>
            <w:pPr>
              <w:jc w:val="right"/>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15.6</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15.6</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p>
        </w:tc>
        <w:tc>
          <w:tcPr>
            <w:tcW w:w="1709"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p>
        </w:tc>
      </w:tr>
      <w:tr>
        <w:tblPrEx>
          <w:tblCellMar>
            <w:top w:w="0" w:type="dxa"/>
            <w:left w:w="108" w:type="dxa"/>
            <w:bottom w:w="0" w:type="dxa"/>
            <w:right w:w="108" w:type="dxa"/>
          </w:tblCellMar>
        </w:tblPrEx>
        <w:trPr>
          <w:trHeight w:val="595" w:hRule="atLeast"/>
          <w:jc w:val="center"/>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pStyle w:val="8"/>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2101101</w:t>
            </w:r>
          </w:p>
        </w:tc>
        <w:tc>
          <w:tcPr>
            <w:tcW w:w="1481" w:type="dxa"/>
            <w:tcBorders>
              <w:top w:val="nil"/>
              <w:left w:val="nil"/>
              <w:bottom w:val="single" w:color="auto" w:sz="4" w:space="0"/>
              <w:right w:val="single" w:color="auto" w:sz="4" w:space="0"/>
            </w:tcBorders>
            <w:shd w:val="clear" w:color="000000" w:fill="FFFFFF"/>
            <w:noWrap/>
            <w:vAlign w:val="center"/>
          </w:tcPr>
          <w:p>
            <w:pP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行政单位医疗</w:t>
            </w:r>
          </w:p>
        </w:tc>
        <w:tc>
          <w:tcPr>
            <w:tcW w:w="1952" w:type="dxa"/>
            <w:tcBorders>
              <w:top w:val="nil"/>
              <w:left w:val="nil"/>
              <w:bottom w:val="single" w:color="auto" w:sz="4" w:space="0"/>
              <w:right w:val="single" w:color="auto" w:sz="4" w:space="0"/>
            </w:tcBorders>
            <w:shd w:val="clear" w:color="auto" w:fill="auto"/>
            <w:noWrap/>
            <w:vAlign w:val="center"/>
          </w:tcPr>
          <w:p>
            <w:pPr>
              <w:jc w:val="right"/>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sz w:val="21"/>
                <w:szCs w:val="21"/>
                <w:lang w:val="en-US" w:eastAsia="zh-CN"/>
              </w:rPr>
              <w:t>15.6</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15.6</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p>
        </w:tc>
        <w:tc>
          <w:tcPr>
            <w:tcW w:w="1709"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p>
        </w:tc>
      </w:tr>
      <w:tr>
        <w:tblPrEx>
          <w:tblCellMar>
            <w:top w:w="0" w:type="dxa"/>
            <w:left w:w="108" w:type="dxa"/>
            <w:bottom w:w="0" w:type="dxa"/>
            <w:right w:w="108" w:type="dxa"/>
          </w:tblCellMar>
        </w:tblPrEx>
        <w:trPr>
          <w:trHeight w:val="595" w:hRule="atLeast"/>
          <w:jc w:val="center"/>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pStyle w:val="8"/>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221</w:t>
            </w:r>
          </w:p>
        </w:tc>
        <w:tc>
          <w:tcPr>
            <w:tcW w:w="1481" w:type="dxa"/>
            <w:tcBorders>
              <w:top w:val="nil"/>
              <w:left w:val="nil"/>
              <w:bottom w:val="single" w:color="auto" w:sz="4" w:space="0"/>
              <w:right w:val="single" w:color="auto" w:sz="4" w:space="0"/>
            </w:tcBorders>
            <w:shd w:val="clear" w:color="000000" w:fill="FFFFFF"/>
            <w:noWrap/>
            <w:vAlign w:val="center"/>
          </w:tcPr>
          <w:p>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住房保障支出</w:t>
            </w:r>
          </w:p>
        </w:tc>
        <w:tc>
          <w:tcPr>
            <w:tcW w:w="1952" w:type="dxa"/>
            <w:tcBorders>
              <w:top w:val="nil"/>
              <w:left w:val="nil"/>
              <w:bottom w:val="single" w:color="auto" w:sz="4" w:space="0"/>
              <w:right w:val="single" w:color="auto" w:sz="4" w:space="0"/>
            </w:tcBorders>
            <w:shd w:val="clear" w:color="auto" w:fill="auto"/>
            <w:noWrap/>
            <w:vAlign w:val="center"/>
          </w:tcPr>
          <w:p>
            <w:pPr>
              <w:jc w:val="righ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31.11</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31.11</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p>
        </w:tc>
        <w:tc>
          <w:tcPr>
            <w:tcW w:w="1709"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p>
        </w:tc>
      </w:tr>
      <w:tr>
        <w:tblPrEx>
          <w:tblCellMar>
            <w:top w:w="0" w:type="dxa"/>
            <w:left w:w="108" w:type="dxa"/>
            <w:bottom w:w="0" w:type="dxa"/>
            <w:right w:w="108" w:type="dxa"/>
          </w:tblCellMar>
        </w:tblPrEx>
        <w:trPr>
          <w:trHeight w:val="595" w:hRule="atLeast"/>
          <w:jc w:val="center"/>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pStyle w:val="8"/>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22102</w:t>
            </w:r>
          </w:p>
        </w:tc>
        <w:tc>
          <w:tcPr>
            <w:tcW w:w="1481" w:type="dxa"/>
            <w:tcBorders>
              <w:top w:val="nil"/>
              <w:left w:val="nil"/>
              <w:bottom w:val="single" w:color="auto" w:sz="4" w:space="0"/>
              <w:right w:val="single" w:color="auto" w:sz="4" w:space="0"/>
            </w:tcBorders>
            <w:shd w:val="clear" w:color="000000" w:fill="FFFFFF"/>
            <w:noWrap/>
            <w:vAlign w:val="center"/>
          </w:tcPr>
          <w:p>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住房改革支出</w:t>
            </w:r>
          </w:p>
        </w:tc>
        <w:tc>
          <w:tcPr>
            <w:tcW w:w="1952" w:type="dxa"/>
            <w:tcBorders>
              <w:top w:val="nil"/>
              <w:left w:val="nil"/>
              <w:bottom w:val="single" w:color="auto" w:sz="4" w:space="0"/>
              <w:right w:val="single" w:color="auto" w:sz="4" w:space="0"/>
            </w:tcBorders>
            <w:shd w:val="clear" w:color="auto" w:fill="auto"/>
            <w:noWrap/>
            <w:vAlign w:val="center"/>
          </w:tcPr>
          <w:p>
            <w:pPr>
              <w:jc w:val="righ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31.11</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31.11</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p>
        </w:tc>
        <w:tc>
          <w:tcPr>
            <w:tcW w:w="1709"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p>
        </w:tc>
      </w:tr>
      <w:tr>
        <w:tblPrEx>
          <w:tblCellMar>
            <w:top w:w="0" w:type="dxa"/>
            <w:left w:w="108" w:type="dxa"/>
            <w:bottom w:w="0" w:type="dxa"/>
            <w:right w:w="108" w:type="dxa"/>
          </w:tblCellMar>
        </w:tblPrEx>
        <w:trPr>
          <w:trHeight w:val="595" w:hRule="atLeast"/>
          <w:jc w:val="center"/>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pStyle w:val="8"/>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2210201</w:t>
            </w:r>
          </w:p>
        </w:tc>
        <w:tc>
          <w:tcPr>
            <w:tcW w:w="1481" w:type="dxa"/>
            <w:tcBorders>
              <w:top w:val="nil"/>
              <w:left w:val="nil"/>
              <w:bottom w:val="single" w:color="auto" w:sz="4" w:space="0"/>
              <w:right w:val="single" w:color="auto" w:sz="4" w:space="0"/>
            </w:tcBorders>
            <w:shd w:val="clear" w:color="000000" w:fill="FFFFFF"/>
            <w:noWrap/>
            <w:vAlign w:val="center"/>
          </w:tcPr>
          <w:p>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住房公积金</w:t>
            </w:r>
          </w:p>
        </w:tc>
        <w:tc>
          <w:tcPr>
            <w:tcW w:w="1952" w:type="dxa"/>
            <w:tcBorders>
              <w:top w:val="nil"/>
              <w:left w:val="nil"/>
              <w:bottom w:val="single" w:color="auto" w:sz="4" w:space="0"/>
              <w:right w:val="single" w:color="auto" w:sz="4" w:space="0"/>
            </w:tcBorders>
            <w:shd w:val="clear" w:color="auto" w:fill="auto"/>
            <w:noWrap/>
            <w:vAlign w:val="center"/>
          </w:tcPr>
          <w:p>
            <w:pPr>
              <w:jc w:val="righ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31.11</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31.11</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p>
        </w:tc>
        <w:tc>
          <w:tcPr>
            <w:tcW w:w="1709"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p>
        </w:tc>
      </w:tr>
      <w:tr>
        <w:tblPrEx>
          <w:tblCellMar>
            <w:top w:w="0" w:type="dxa"/>
            <w:left w:w="108" w:type="dxa"/>
            <w:bottom w:w="0" w:type="dxa"/>
            <w:right w:w="108" w:type="dxa"/>
          </w:tblCellMar>
        </w:tblPrEx>
        <w:trPr>
          <w:trHeight w:val="828" w:hRule="atLeast"/>
          <w:jc w:val="center"/>
        </w:trPr>
        <w:tc>
          <w:tcPr>
            <w:tcW w:w="14605" w:type="dxa"/>
            <w:gridSpan w:val="9"/>
            <w:tcBorders>
              <w:top w:val="nil"/>
              <w:left w:val="nil"/>
              <w:bottom w:val="nil"/>
              <w:right w:val="nil"/>
            </w:tcBorders>
            <w:shd w:val="clear" w:color="auto" w:fill="auto"/>
            <w:vAlign w:val="center"/>
          </w:tcPr>
          <w:p>
            <w:pPr>
              <w:widowControl/>
              <w:jc w:val="left"/>
              <w:rPr>
                <w:rFonts w:hint="eastAsia" w:asciiTheme="minorEastAsia" w:hAnsiTheme="minorEastAsia" w:eastAsiaTheme="minorEastAsia" w:cstheme="minorEastAsia"/>
                <w:kern w:val="0"/>
                <w:sz w:val="21"/>
                <w:szCs w:val="21"/>
              </w:rPr>
            </w:pPr>
          </w:p>
          <w:p>
            <w:pPr>
              <w:widowControl/>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注：本表反映部门本年度各项支出情况。</w:t>
            </w:r>
          </w:p>
          <w:p>
            <w:pPr>
              <w:rPr>
                <w:rFonts w:hint="eastAsia" w:asciiTheme="minorEastAsia" w:hAnsiTheme="minorEastAsia" w:eastAsiaTheme="minorEastAsia" w:cstheme="minorEastAsia"/>
                <w:sz w:val="21"/>
                <w:szCs w:val="21"/>
              </w:rPr>
            </w:pPr>
          </w:p>
        </w:tc>
      </w:tr>
    </w:tbl>
    <w:p>
      <w:pPr>
        <w:widowControl/>
        <w:jc w:val="both"/>
        <w:rPr>
          <w:rFonts w:ascii="Times New Roman" w:hAnsi="Times New Roman" w:eastAsia="方正小标宋_GBK" w:cs="Times New Roman"/>
          <w:color w:val="000000"/>
          <w:kern w:val="0"/>
          <w:sz w:val="36"/>
          <w:szCs w:val="21"/>
        </w:rPr>
      </w:pPr>
    </w:p>
    <w:p>
      <w:pPr>
        <w:widowControl/>
        <w:jc w:val="both"/>
        <w:rPr>
          <w:rFonts w:ascii="Times New Roman" w:hAnsi="Times New Roman" w:eastAsia="方正小标宋_GBK" w:cs="Times New Roman"/>
          <w:color w:val="000000"/>
          <w:kern w:val="0"/>
          <w:sz w:val="36"/>
          <w:szCs w:val="21"/>
        </w:rPr>
      </w:pPr>
    </w:p>
    <w:p>
      <w:pPr>
        <w:widowControl/>
        <w:jc w:val="both"/>
        <w:rPr>
          <w:rFonts w:ascii="Times New Roman" w:hAnsi="Times New Roman" w:eastAsia="方正小标宋_GBK" w:cs="Times New Roman"/>
          <w:color w:val="000000"/>
          <w:kern w:val="0"/>
          <w:sz w:val="36"/>
          <w:szCs w:val="21"/>
        </w:rPr>
      </w:pPr>
    </w:p>
    <w:p>
      <w:pPr>
        <w:widowControl/>
        <w:jc w:val="both"/>
        <w:rPr>
          <w:rFonts w:ascii="Times New Roman" w:hAnsi="Times New Roman" w:eastAsia="方正小标宋_GBK" w:cs="Times New Roman"/>
          <w:color w:val="000000"/>
          <w:kern w:val="0"/>
          <w:sz w:val="36"/>
          <w:szCs w:val="21"/>
        </w:rPr>
      </w:pPr>
    </w:p>
    <w:tbl>
      <w:tblPr>
        <w:tblStyle w:val="11"/>
        <w:tblW w:w="15382" w:type="dxa"/>
        <w:tblInd w:w="0" w:type="dxa"/>
        <w:tblLayout w:type="fixed"/>
        <w:tblCellMar>
          <w:top w:w="0" w:type="dxa"/>
          <w:left w:w="108" w:type="dxa"/>
          <w:bottom w:w="0" w:type="dxa"/>
          <w:right w:w="108" w:type="dxa"/>
        </w:tblCellMar>
      </w:tblPr>
      <w:tblGrid>
        <w:gridCol w:w="93"/>
        <w:gridCol w:w="568"/>
        <w:gridCol w:w="630"/>
        <w:gridCol w:w="555"/>
        <w:gridCol w:w="1842"/>
        <w:gridCol w:w="436"/>
        <w:gridCol w:w="392"/>
        <w:gridCol w:w="686"/>
        <w:gridCol w:w="79"/>
        <w:gridCol w:w="360"/>
        <w:gridCol w:w="435"/>
        <w:gridCol w:w="330"/>
        <w:gridCol w:w="390"/>
        <w:gridCol w:w="405"/>
        <w:gridCol w:w="510"/>
        <w:gridCol w:w="210"/>
        <w:gridCol w:w="690"/>
        <w:gridCol w:w="225"/>
        <w:gridCol w:w="246"/>
        <w:gridCol w:w="163"/>
        <w:gridCol w:w="311"/>
        <w:gridCol w:w="124"/>
        <w:gridCol w:w="56"/>
        <w:gridCol w:w="795"/>
        <w:gridCol w:w="150"/>
        <w:gridCol w:w="572"/>
        <w:gridCol w:w="148"/>
        <w:gridCol w:w="255"/>
        <w:gridCol w:w="690"/>
        <w:gridCol w:w="180"/>
        <w:gridCol w:w="121"/>
        <w:gridCol w:w="479"/>
        <w:gridCol w:w="135"/>
        <w:gridCol w:w="472"/>
        <w:gridCol w:w="158"/>
        <w:gridCol w:w="150"/>
        <w:gridCol w:w="562"/>
        <w:gridCol w:w="683"/>
        <w:gridCol w:w="96"/>
      </w:tblGrid>
      <w:tr>
        <w:tblPrEx>
          <w:tblCellMar>
            <w:top w:w="0" w:type="dxa"/>
            <w:left w:w="108" w:type="dxa"/>
            <w:bottom w:w="0" w:type="dxa"/>
            <w:right w:w="108" w:type="dxa"/>
          </w:tblCellMar>
        </w:tblPrEx>
        <w:trPr>
          <w:gridBefore w:val="1"/>
          <w:wBefore w:w="93" w:type="dxa"/>
          <w:trHeight w:val="360" w:hRule="atLeast"/>
        </w:trPr>
        <w:tc>
          <w:tcPr>
            <w:tcW w:w="15289" w:type="dxa"/>
            <w:gridSpan w:val="38"/>
            <w:tcBorders>
              <w:top w:val="nil"/>
              <w:left w:val="nil"/>
              <w:bottom w:val="nil"/>
              <w:right w:val="nil"/>
            </w:tcBorders>
            <w:shd w:val="clear" w:color="auto" w:fill="auto"/>
            <w:noWrap/>
            <w:vAlign w:val="center"/>
          </w:tcPr>
          <w:p>
            <w:pPr>
              <w:widowControl/>
              <w:jc w:val="center"/>
              <w:rPr>
                <w:rFonts w:ascii="华文中宋" w:hAnsi="华文中宋" w:eastAsia="华文中宋" w:cs="宋体"/>
                <w:color w:val="000000"/>
                <w:kern w:val="0"/>
                <w:sz w:val="32"/>
                <w:szCs w:val="32"/>
              </w:rPr>
            </w:pPr>
            <w:bookmarkStart w:id="0" w:name="RANGE!A1:I22"/>
            <w:bookmarkEnd w:id="0"/>
            <w:bookmarkStart w:id="1" w:name="RANGE!A1:F16"/>
            <w:r>
              <w:rPr>
                <w:rFonts w:hint="eastAsia" w:ascii="华文中宋" w:hAnsi="华文中宋" w:eastAsia="华文中宋" w:cs="宋体"/>
                <w:color w:val="000000"/>
                <w:kern w:val="0"/>
                <w:sz w:val="32"/>
                <w:szCs w:val="32"/>
              </w:rPr>
              <w:t>财政拨款收入支出决算总表</w:t>
            </w:r>
          </w:p>
        </w:tc>
      </w:tr>
      <w:tr>
        <w:tblPrEx>
          <w:tblCellMar>
            <w:top w:w="0" w:type="dxa"/>
            <w:left w:w="108" w:type="dxa"/>
            <w:bottom w:w="0" w:type="dxa"/>
            <w:right w:w="108" w:type="dxa"/>
          </w:tblCellMar>
        </w:tblPrEx>
        <w:trPr>
          <w:gridBefore w:val="1"/>
          <w:wBefore w:w="93" w:type="dxa"/>
          <w:trHeight w:val="199" w:hRule="atLeast"/>
        </w:trPr>
        <w:tc>
          <w:tcPr>
            <w:tcW w:w="3595" w:type="dxa"/>
            <w:gridSpan w:val="4"/>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6"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gridSpan w:val="2"/>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12"/>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gridSpan w:val="2"/>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gridSpan w:val="4"/>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gridSpan w:val="5"/>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gridSpan w:val="5"/>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41" w:type="dxa"/>
            <w:gridSpan w:val="3"/>
            <w:tcBorders>
              <w:top w:val="nil"/>
              <w:left w:val="nil"/>
              <w:bottom w:val="nil"/>
              <w:right w:val="nil"/>
            </w:tcBorders>
            <w:shd w:val="clear" w:color="000000" w:fill="FFFFFF"/>
            <w:noWrap/>
            <w:vAlign w:val="center"/>
          </w:tcPr>
          <w:p>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公开04表</w:t>
            </w:r>
          </w:p>
        </w:tc>
      </w:tr>
      <w:tr>
        <w:tblPrEx>
          <w:tblCellMar>
            <w:top w:w="0" w:type="dxa"/>
            <w:left w:w="108" w:type="dxa"/>
            <w:bottom w:w="0" w:type="dxa"/>
            <w:right w:w="108" w:type="dxa"/>
          </w:tblCellMar>
        </w:tblPrEx>
        <w:trPr>
          <w:gridBefore w:val="1"/>
          <w:wBefore w:w="93" w:type="dxa"/>
          <w:trHeight w:val="300" w:hRule="atLeast"/>
        </w:trPr>
        <w:tc>
          <w:tcPr>
            <w:tcW w:w="3595" w:type="dxa"/>
            <w:gridSpan w:val="4"/>
            <w:tcBorders>
              <w:top w:val="nil"/>
              <w:left w:val="nil"/>
              <w:bottom w:val="nil"/>
              <w:right w:val="nil"/>
            </w:tcBorders>
            <w:shd w:val="clear" w:color="000000" w:fill="FFFFFF"/>
            <w:noWrap/>
            <w:vAlign w:val="center"/>
          </w:tcPr>
          <w:p>
            <w:pPr>
              <w:widowControl/>
              <w:jc w:val="left"/>
              <w:rPr>
                <w:rFonts w:hint="eastAsia" w:ascii="宋体" w:hAnsi="宋体" w:eastAsia="宋体" w:cs="宋体"/>
                <w:color w:val="000000"/>
                <w:kern w:val="0"/>
                <w:sz w:val="20"/>
                <w:szCs w:val="20"/>
                <w:lang w:eastAsia="zh-CN"/>
              </w:rPr>
            </w:pPr>
            <w:r>
              <w:rPr>
                <w:rFonts w:hint="eastAsia" w:ascii="宋体" w:hAnsi="宋体" w:eastAsia="宋体" w:cs="宋体"/>
                <w:color w:val="000000"/>
                <w:kern w:val="0"/>
                <w:sz w:val="20"/>
                <w:szCs w:val="20"/>
              </w:rPr>
              <w:t>部门：</w:t>
            </w:r>
            <w:r>
              <w:rPr>
                <w:rFonts w:hint="eastAsia" w:ascii="宋体" w:hAnsi="宋体" w:eastAsia="宋体" w:cs="宋体"/>
                <w:color w:val="000000"/>
                <w:kern w:val="0"/>
                <w:sz w:val="20"/>
                <w:szCs w:val="20"/>
                <w:lang w:eastAsia="zh-CN"/>
              </w:rPr>
              <w:t>怀化市民族宗教事务局</w:t>
            </w:r>
          </w:p>
        </w:tc>
        <w:tc>
          <w:tcPr>
            <w:tcW w:w="436"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gridSpan w:val="2"/>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12"/>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gridSpan w:val="2"/>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gridSpan w:val="4"/>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gridSpan w:val="5"/>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gridSpan w:val="5"/>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41" w:type="dxa"/>
            <w:gridSpan w:val="3"/>
            <w:tcBorders>
              <w:top w:val="nil"/>
              <w:left w:val="nil"/>
              <w:bottom w:val="nil"/>
              <w:right w:val="nil"/>
            </w:tcBorders>
            <w:shd w:val="clear" w:color="000000" w:fill="FFFFFF"/>
            <w:noWrap/>
            <w:vAlign w:val="center"/>
          </w:tcPr>
          <w:p>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tblPrEx>
          <w:tblCellMar>
            <w:top w:w="0" w:type="dxa"/>
            <w:left w:w="108" w:type="dxa"/>
            <w:bottom w:w="0" w:type="dxa"/>
            <w:right w:w="108" w:type="dxa"/>
          </w:tblCellMar>
        </w:tblPrEx>
        <w:trPr>
          <w:gridBefore w:val="1"/>
          <w:wBefore w:w="93" w:type="dxa"/>
          <w:trHeight w:val="402" w:hRule="atLeast"/>
        </w:trPr>
        <w:tc>
          <w:tcPr>
            <w:tcW w:w="5109" w:type="dxa"/>
            <w:gridSpan w:val="7"/>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收入</w:t>
            </w:r>
          </w:p>
        </w:tc>
        <w:tc>
          <w:tcPr>
            <w:tcW w:w="10180" w:type="dxa"/>
            <w:gridSpan w:val="31"/>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支出</w:t>
            </w:r>
          </w:p>
        </w:tc>
      </w:tr>
      <w:tr>
        <w:tblPrEx>
          <w:tblCellMar>
            <w:top w:w="0" w:type="dxa"/>
            <w:left w:w="108" w:type="dxa"/>
            <w:bottom w:w="0" w:type="dxa"/>
            <w:right w:w="108" w:type="dxa"/>
          </w:tblCellMar>
        </w:tblPrEx>
        <w:trPr>
          <w:gridBefore w:val="1"/>
          <w:wBefore w:w="93" w:type="dxa"/>
          <w:trHeight w:val="630" w:hRule="atLeast"/>
        </w:trPr>
        <w:tc>
          <w:tcPr>
            <w:tcW w:w="3595" w:type="dxa"/>
            <w:gridSpan w:val="4"/>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项    目</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行次</w:t>
            </w:r>
          </w:p>
        </w:tc>
        <w:tc>
          <w:tcPr>
            <w:tcW w:w="1078"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金额</w:t>
            </w:r>
          </w:p>
        </w:tc>
        <w:tc>
          <w:tcPr>
            <w:tcW w:w="3880" w:type="dxa"/>
            <w:gridSpan w:val="11"/>
            <w:tcBorders>
              <w:top w:val="nil"/>
              <w:left w:val="nil"/>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项    目</w:t>
            </w:r>
          </w:p>
        </w:tc>
        <w:tc>
          <w:tcPr>
            <w:tcW w:w="598"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行次</w:t>
            </w:r>
          </w:p>
        </w:tc>
        <w:tc>
          <w:tcPr>
            <w:tcW w:w="1573" w:type="dxa"/>
            <w:gridSpan w:val="4"/>
            <w:tcBorders>
              <w:top w:val="nil"/>
              <w:left w:val="nil"/>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合计</w:t>
            </w:r>
          </w:p>
        </w:tc>
        <w:tc>
          <w:tcPr>
            <w:tcW w:w="1394" w:type="dxa"/>
            <w:gridSpan w:val="5"/>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一般公共预算财政拨款</w:t>
            </w:r>
          </w:p>
        </w:tc>
        <w:tc>
          <w:tcPr>
            <w:tcW w:w="1394" w:type="dxa"/>
            <w:gridSpan w:val="5"/>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政府性基金预算财政拨款</w:t>
            </w:r>
          </w:p>
        </w:tc>
        <w:tc>
          <w:tcPr>
            <w:tcW w:w="1341"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国有资本经营预算财政拨款</w:t>
            </w:r>
          </w:p>
        </w:tc>
      </w:tr>
      <w:tr>
        <w:tblPrEx>
          <w:tblCellMar>
            <w:top w:w="0" w:type="dxa"/>
            <w:left w:w="108" w:type="dxa"/>
            <w:bottom w:w="0" w:type="dxa"/>
            <w:right w:w="108" w:type="dxa"/>
          </w:tblCellMar>
        </w:tblPrEx>
        <w:trPr>
          <w:gridBefore w:val="1"/>
          <w:wBefore w:w="93" w:type="dxa"/>
          <w:trHeight w:val="402" w:hRule="atLeast"/>
        </w:trPr>
        <w:tc>
          <w:tcPr>
            <w:tcW w:w="3595" w:type="dxa"/>
            <w:gridSpan w:val="4"/>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栏    次</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1078"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w:t>
            </w:r>
          </w:p>
        </w:tc>
        <w:tc>
          <w:tcPr>
            <w:tcW w:w="3880" w:type="dxa"/>
            <w:gridSpan w:val="11"/>
            <w:tcBorders>
              <w:top w:val="nil"/>
              <w:left w:val="nil"/>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栏    次</w:t>
            </w:r>
          </w:p>
        </w:tc>
        <w:tc>
          <w:tcPr>
            <w:tcW w:w="598"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1573" w:type="dxa"/>
            <w:gridSpan w:val="4"/>
            <w:tcBorders>
              <w:top w:val="nil"/>
              <w:left w:val="nil"/>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w:t>
            </w:r>
          </w:p>
        </w:tc>
        <w:tc>
          <w:tcPr>
            <w:tcW w:w="1394" w:type="dxa"/>
            <w:gridSpan w:val="5"/>
            <w:tcBorders>
              <w:top w:val="nil"/>
              <w:left w:val="nil"/>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3</w:t>
            </w:r>
          </w:p>
        </w:tc>
        <w:tc>
          <w:tcPr>
            <w:tcW w:w="1394" w:type="dxa"/>
            <w:gridSpan w:val="5"/>
            <w:tcBorders>
              <w:top w:val="nil"/>
              <w:left w:val="nil"/>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4</w:t>
            </w:r>
          </w:p>
        </w:tc>
        <w:tc>
          <w:tcPr>
            <w:tcW w:w="1341"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5</w:t>
            </w:r>
          </w:p>
        </w:tc>
      </w:tr>
      <w:tr>
        <w:tblPrEx>
          <w:tblCellMar>
            <w:top w:w="0" w:type="dxa"/>
            <w:left w:w="108" w:type="dxa"/>
            <w:bottom w:w="0" w:type="dxa"/>
            <w:right w:w="108" w:type="dxa"/>
          </w:tblCellMar>
        </w:tblPrEx>
        <w:trPr>
          <w:gridBefore w:val="1"/>
          <w:wBefore w:w="93" w:type="dxa"/>
          <w:trHeight w:val="417" w:hRule="atLeast"/>
        </w:trPr>
        <w:tc>
          <w:tcPr>
            <w:tcW w:w="3595" w:type="dxa"/>
            <w:gridSpan w:val="4"/>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一、一般公共预算财政拨款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w:t>
            </w:r>
          </w:p>
        </w:tc>
        <w:tc>
          <w:tcPr>
            <w:tcW w:w="1078" w:type="dxa"/>
            <w:gridSpan w:val="2"/>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lang w:val="en-US" w:eastAsia="zh-CN"/>
              </w:rPr>
              <w:t>954.87</w:t>
            </w:r>
            <w:r>
              <w:rPr>
                <w:rFonts w:hint="eastAsia" w:asciiTheme="minorEastAsia" w:hAnsiTheme="minorEastAsia" w:eastAsiaTheme="minorEastAsia" w:cstheme="minorEastAsia"/>
                <w:kern w:val="0"/>
                <w:sz w:val="21"/>
                <w:szCs w:val="21"/>
              </w:rPr>
              <w:t>　</w:t>
            </w:r>
          </w:p>
        </w:tc>
        <w:tc>
          <w:tcPr>
            <w:tcW w:w="3880" w:type="dxa"/>
            <w:gridSpan w:val="11"/>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一、一般公共服务支出</w:t>
            </w:r>
          </w:p>
        </w:tc>
        <w:tc>
          <w:tcPr>
            <w:tcW w:w="598"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15</w:t>
            </w:r>
          </w:p>
        </w:tc>
        <w:tc>
          <w:tcPr>
            <w:tcW w:w="1573" w:type="dxa"/>
            <w:gridSpan w:val="4"/>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lang w:val="en-US" w:eastAsia="zh-CN"/>
              </w:rPr>
              <w:t>842.04</w:t>
            </w:r>
            <w:r>
              <w:rPr>
                <w:rFonts w:hint="eastAsia" w:asciiTheme="minorEastAsia" w:hAnsiTheme="minorEastAsia" w:eastAsiaTheme="minorEastAsia" w:cstheme="minorEastAsia"/>
                <w:kern w:val="0"/>
                <w:sz w:val="21"/>
                <w:szCs w:val="21"/>
              </w:rPr>
              <w:t>　</w:t>
            </w:r>
          </w:p>
        </w:tc>
        <w:tc>
          <w:tcPr>
            <w:tcW w:w="1394" w:type="dxa"/>
            <w:gridSpan w:val="5"/>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842.04</w:t>
            </w:r>
          </w:p>
        </w:tc>
        <w:tc>
          <w:tcPr>
            <w:tcW w:w="1394" w:type="dxa"/>
            <w:gridSpan w:val="5"/>
            <w:tcBorders>
              <w:top w:val="nil"/>
              <w:left w:val="nil"/>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1341" w:type="dxa"/>
            <w:gridSpan w:val="3"/>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r>
      <w:tr>
        <w:tblPrEx>
          <w:tblCellMar>
            <w:top w:w="0" w:type="dxa"/>
            <w:left w:w="108" w:type="dxa"/>
            <w:bottom w:w="0" w:type="dxa"/>
            <w:right w:w="108" w:type="dxa"/>
          </w:tblCellMar>
        </w:tblPrEx>
        <w:trPr>
          <w:gridBefore w:val="1"/>
          <w:wBefore w:w="93" w:type="dxa"/>
          <w:trHeight w:val="402" w:hRule="atLeast"/>
        </w:trPr>
        <w:tc>
          <w:tcPr>
            <w:tcW w:w="3595" w:type="dxa"/>
            <w:gridSpan w:val="4"/>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二、政府性基金预算财政拨款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w:t>
            </w:r>
          </w:p>
        </w:tc>
        <w:tc>
          <w:tcPr>
            <w:tcW w:w="1078" w:type="dxa"/>
            <w:gridSpan w:val="2"/>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3880" w:type="dxa"/>
            <w:gridSpan w:val="11"/>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二、外交支出</w:t>
            </w:r>
          </w:p>
        </w:tc>
        <w:tc>
          <w:tcPr>
            <w:tcW w:w="598"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16</w:t>
            </w:r>
          </w:p>
        </w:tc>
        <w:tc>
          <w:tcPr>
            <w:tcW w:w="1573" w:type="dxa"/>
            <w:gridSpan w:val="4"/>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1394" w:type="dxa"/>
            <w:gridSpan w:val="5"/>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1394" w:type="dxa"/>
            <w:gridSpan w:val="5"/>
            <w:tcBorders>
              <w:top w:val="nil"/>
              <w:left w:val="nil"/>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1341" w:type="dxa"/>
            <w:gridSpan w:val="3"/>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r>
      <w:tr>
        <w:tblPrEx>
          <w:tblCellMar>
            <w:top w:w="0" w:type="dxa"/>
            <w:left w:w="108" w:type="dxa"/>
            <w:bottom w:w="0" w:type="dxa"/>
            <w:right w:w="108" w:type="dxa"/>
          </w:tblCellMar>
        </w:tblPrEx>
        <w:trPr>
          <w:gridBefore w:val="1"/>
          <w:wBefore w:w="93" w:type="dxa"/>
          <w:trHeight w:val="402" w:hRule="atLeast"/>
        </w:trPr>
        <w:tc>
          <w:tcPr>
            <w:tcW w:w="3595" w:type="dxa"/>
            <w:gridSpan w:val="4"/>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三、国有资本经营预算财政拨款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3</w:t>
            </w:r>
          </w:p>
        </w:tc>
        <w:tc>
          <w:tcPr>
            <w:tcW w:w="1078" w:type="dxa"/>
            <w:gridSpan w:val="2"/>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3880" w:type="dxa"/>
            <w:gridSpan w:val="11"/>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三、国防支出</w:t>
            </w:r>
          </w:p>
        </w:tc>
        <w:tc>
          <w:tcPr>
            <w:tcW w:w="598"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17</w:t>
            </w:r>
          </w:p>
        </w:tc>
        <w:tc>
          <w:tcPr>
            <w:tcW w:w="1573" w:type="dxa"/>
            <w:gridSpan w:val="4"/>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1394" w:type="dxa"/>
            <w:gridSpan w:val="5"/>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1394" w:type="dxa"/>
            <w:gridSpan w:val="5"/>
            <w:tcBorders>
              <w:top w:val="nil"/>
              <w:left w:val="nil"/>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1341" w:type="dxa"/>
            <w:gridSpan w:val="3"/>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r>
      <w:tr>
        <w:tblPrEx>
          <w:tblCellMar>
            <w:top w:w="0" w:type="dxa"/>
            <w:left w:w="108" w:type="dxa"/>
            <w:bottom w:w="0" w:type="dxa"/>
            <w:right w:w="108" w:type="dxa"/>
          </w:tblCellMar>
        </w:tblPrEx>
        <w:trPr>
          <w:gridBefore w:val="1"/>
          <w:wBefore w:w="93" w:type="dxa"/>
          <w:trHeight w:val="402" w:hRule="atLeast"/>
        </w:trPr>
        <w:tc>
          <w:tcPr>
            <w:tcW w:w="3595" w:type="dxa"/>
            <w:gridSpan w:val="4"/>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4</w:t>
            </w:r>
          </w:p>
        </w:tc>
        <w:tc>
          <w:tcPr>
            <w:tcW w:w="1078" w:type="dxa"/>
            <w:gridSpan w:val="2"/>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3880" w:type="dxa"/>
            <w:gridSpan w:val="11"/>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四、公共安全支出</w:t>
            </w:r>
          </w:p>
        </w:tc>
        <w:tc>
          <w:tcPr>
            <w:tcW w:w="598"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18</w:t>
            </w:r>
          </w:p>
        </w:tc>
        <w:tc>
          <w:tcPr>
            <w:tcW w:w="1573" w:type="dxa"/>
            <w:gridSpan w:val="4"/>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1394" w:type="dxa"/>
            <w:gridSpan w:val="5"/>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1394" w:type="dxa"/>
            <w:gridSpan w:val="5"/>
            <w:tcBorders>
              <w:top w:val="nil"/>
              <w:left w:val="nil"/>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1341" w:type="dxa"/>
            <w:gridSpan w:val="3"/>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r>
      <w:tr>
        <w:tblPrEx>
          <w:tblCellMar>
            <w:top w:w="0" w:type="dxa"/>
            <w:left w:w="108" w:type="dxa"/>
            <w:bottom w:w="0" w:type="dxa"/>
            <w:right w:w="108" w:type="dxa"/>
          </w:tblCellMar>
        </w:tblPrEx>
        <w:trPr>
          <w:gridBefore w:val="1"/>
          <w:wBefore w:w="93" w:type="dxa"/>
          <w:trHeight w:val="402" w:hRule="atLeast"/>
        </w:trPr>
        <w:tc>
          <w:tcPr>
            <w:tcW w:w="3595" w:type="dxa"/>
            <w:gridSpan w:val="4"/>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5</w:t>
            </w:r>
          </w:p>
        </w:tc>
        <w:tc>
          <w:tcPr>
            <w:tcW w:w="1078" w:type="dxa"/>
            <w:gridSpan w:val="2"/>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3880" w:type="dxa"/>
            <w:gridSpan w:val="11"/>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五、教育支出</w:t>
            </w:r>
          </w:p>
        </w:tc>
        <w:tc>
          <w:tcPr>
            <w:tcW w:w="598"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19</w:t>
            </w:r>
          </w:p>
        </w:tc>
        <w:tc>
          <w:tcPr>
            <w:tcW w:w="1573" w:type="dxa"/>
            <w:gridSpan w:val="4"/>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1394" w:type="dxa"/>
            <w:gridSpan w:val="5"/>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1394" w:type="dxa"/>
            <w:gridSpan w:val="5"/>
            <w:tcBorders>
              <w:top w:val="nil"/>
              <w:left w:val="nil"/>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1341" w:type="dxa"/>
            <w:gridSpan w:val="3"/>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r>
      <w:tr>
        <w:tblPrEx>
          <w:tblCellMar>
            <w:top w:w="0" w:type="dxa"/>
            <w:left w:w="108" w:type="dxa"/>
            <w:bottom w:w="0" w:type="dxa"/>
            <w:right w:w="108" w:type="dxa"/>
          </w:tblCellMar>
        </w:tblPrEx>
        <w:trPr>
          <w:gridBefore w:val="1"/>
          <w:wBefore w:w="93" w:type="dxa"/>
          <w:trHeight w:val="402" w:hRule="atLeast"/>
        </w:trPr>
        <w:tc>
          <w:tcPr>
            <w:tcW w:w="3595" w:type="dxa"/>
            <w:gridSpan w:val="4"/>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6</w:t>
            </w:r>
          </w:p>
        </w:tc>
        <w:tc>
          <w:tcPr>
            <w:tcW w:w="1078" w:type="dxa"/>
            <w:gridSpan w:val="2"/>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3880" w:type="dxa"/>
            <w:gridSpan w:val="11"/>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六、科学技术支出</w:t>
            </w:r>
          </w:p>
        </w:tc>
        <w:tc>
          <w:tcPr>
            <w:tcW w:w="598"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20</w:t>
            </w:r>
          </w:p>
        </w:tc>
        <w:tc>
          <w:tcPr>
            <w:tcW w:w="1573" w:type="dxa"/>
            <w:gridSpan w:val="4"/>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1394" w:type="dxa"/>
            <w:gridSpan w:val="5"/>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1394" w:type="dxa"/>
            <w:gridSpan w:val="5"/>
            <w:tcBorders>
              <w:top w:val="nil"/>
              <w:left w:val="nil"/>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1341" w:type="dxa"/>
            <w:gridSpan w:val="3"/>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r>
      <w:tr>
        <w:tblPrEx>
          <w:tblCellMar>
            <w:top w:w="0" w:type="dxa"/>
            <w:left w:w="108" w:type="dxa"/>
            <w:bottom w:w="0" w:type="dxa"/>
            <w:right w:w="108" w:type="dxa"/>
          </w:tblCellMar>
        </w:tblPrEx>
        <w:trPr>
          <w:gridBefore w:val="1"/>
          <w:wBefore w:w="93" w:type="dxa"/>
          <w:trHeight w:val="402" w:hRule="atLeast"/>
        </w:trPr>
        <w:tc>
          <w:tcPr>
            <w:tcW w:w="3595" w:type="dxa"/>
            <w:gridSpan w:val="4"/>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7</w:t>
            </w:r>
          </w:p>
        </w:tc>
        <w:tc>
          <w:tcPr>
            <w:tcW w:w="1078" w:type="dxa"/>
            <w:gridSpan w:val="2"/>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3880" w:type="dxa"/>
            <w:gridSpan w:val="11"/>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lang w:eastAsia="zh-CN"/>
              </w:rPr>
              <w:t>七、文化旅游体育与传媒支出</w:t>
            </w:r>
            <w:r>
              <w:rPr>
                <w:rFonts w:hint="eastAsia" w:asciiTheme="minorEastAsia" w:hAnsiTheme="minorEastAsia" w:eastAsiaTheme="minorEastAsia" w:cstheme="minorEastAsia"/>
                <w:kern w:val="0"/>
                <w:sz w:val="21"/>
                <w:szCs w:val="21"/>
              </w:rPr>
              <w:t>……</w:t>
            </w:r>
          </w:p>
        </w:tc>
        <w:tc>
          <w:tcPr>
            <w:tcW w:w="598"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21</w:t>
            </w:r>
          </w:p>
        </w:tc>
        <w:tc>
          <w:tcPr>
            <w:tcW w:w="1573" w:type="dxa"/>
            <w:gridSpan w:val="4"/>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1394" w:type="dxa"/>
            <w:gridSpan w:val="5"/>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1394" w:type="dxa"/>
            <w:gridSpan w:val="5"/>
            <w:tcBorders>
              <w:top w:val="nil"/>
              <w:left w:val="nil"/>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1341" w:type="dxa"/>
            <w:gridSpan w:val="3"/>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r>
      <w:tr>
        <w:tblPrEx>
          <w:tblCellMar>
            <w:top w:w="0" w:type="dxa"/>
            <w:left w:w="108" w:type="dxa"/>
            <w:bottom w:w="0" w:type="dxa"/>
            <w:right w:w="108" w:type="dxa"/>
          </w:tblCellMar>
        </w:tblPrEx>
        <w:trPr>
          <w:gridBefore w:val="1"/>
          <w:wBefore w:w="93" w:type="dxa"/>
          <w:trHeight w:val="402" w:hRule="atLeast"/>
        </w:trPr>
        <w:tc>
          <w:tcPr>
            <w:tcW w:w="3595" w:type="dxa"/>
            <w:gridSpan w:val="4"/>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8</w:t>
            </w:r>
          </w:p>
        </w:tc>
        <w:tc>
          <w:tcPr>
            <w:tcW w:w="1078" w:type="dxa"/>
            <w:gridSpan w:val="2"/>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3880" w:type="dxa"/>
            <w:gridSpan w:val="11"/>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八、社会保障和就业支出</w:t>
            </w:r>
          </w:p>
        </w:tc>
        <w:tc>
          <w:tcPr>
            <w:tcW w:w="598"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22</w:t>
            </w:r>
          </w:p>
        </w:tc>
        <w:tc>
          <w:tcPr>
            <w:tcW w:w="1573" w:type="dxa"/>
            <w:gridSpan w:val="4"/>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66.11</w:t>
            </w:r>
          </w:p>
        </w:tc>
        <w:tc>
          <w:tcPr>
            <w:tcW w:w="1394" w:type="dxa"/>
            <w:gridSpan w:val="5"/>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lang w:val="en-US" w:eastAsia="zh-CN"/>
              </w:rPr>
              <w:t>66.11</w:t>
            </w:r>
            <w:r>
              <w:rPr>
                <w:rFonts w:hint="eastAsia" w:asciiTheme="minorEastAsia" w:hAnsiTheme="minorEastAsia" w:eastAsiaTheme="minorEastAsia" w:cstheme="minorEastAsia"/>
                <w:kern w:val="0"/>
                <w:sz w:val="21"/>
                <w:szCs w:val="21"/>
              </w:rPr>
              <w:t>　</w:t>
            </w:r>
          </w:p>
        </w:tc>
        <w:tc>
          <w:tcPr>
            <w:tcW w:w="1394" w:type="dxa"/>
            <w:gridSpan w:val="5"/>
            <w:tcBorders>
              <w:top w:val="nil"/>
              <w:left w:val="nil"/>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1341"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r>
      <w:tr>
        <w:tblPrEx>
          <w:tblCellMar>
            <w:top w:w="0" w:type="dxa"/>
            <w:left w:w="108" w:type="dxa"/>
            <w:bottom w:w="0" w:type="dxa"/>
            <w:right w:w="108" w:type="dxa"/>
          </w:tblCellMar>
        </w:tblPrEx>
        <w:trPr>
          <w:gridBefore w:val="1"/>
          <w:wBefore w:w="93" w:type="dxa"/>
          <w:trHeight w:val="387" w:hRule="atLeast"/>
        </w:trPr>
        <w:tc>
          <w:tcPr>
            <w:tcW w:w="3595" w:type="dxa"/>
            <w:gridSpan w:val="4"/>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kern w:val="0"/>
                <w:sz w:val="21"/>
                <w:szCs w:val="21"/>
              </w:rPr>
            </w:pP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kern w:val="0"/>
                <w:sz w:val="21"/>
                <w:szCs w:val="21"/>
              </w:rPr>
            </w:pPr>
          </w:p>
        </w:tc>
        <w:tc>
          <w:tcPr>
            <w:tcW w:w="1078" w:type="dxa"/>
            <w:gridSpan w:val="2"/>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p>
        </w:tc>
        <w:tc>
          <w:tcPr>
            <w:tcW w:w="3880" w:type="dxa"/>
            <w:gridSpan w:val="11"/>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九、卫生健康支出</w:t>
            </w:r>
          </w:p>
        </w:tc>
        <w:tc>
          <w:tcPr>
            <w:tcW w:w="598"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23</w:t>
            </w:r>
          </w:p>
        </w:tc>
        <w:tc>
          <w:tcPr>
            <w:tcW w:w="1573" w:type="dxa"/>
            <w:gridSpan w:val="4"/>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15.6</w:t>
            </w:r>
          </w:p>
        </w:tc>
        <w:tc>
          <w:tcPr>
            <w:tcW w:w="1394" w:type="dxa"/>
            <w:gridSpan w:val="5"/>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15.6</w:t>
            </w:r>
          </w:p>
        </w:tc>
        <w:tc>
          <w:tcPr>
            <w:tcW w:w="1394" w:type="dxa"/>
            <w:gridSpan w:val="5"/>
            <w:tcBorders>
              <w:top w:val="nil"/>
              <w:left w:val="nil"/>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kern w:val="0"/>
                <w:sz w:val="21"/>
                <w:szCs w:val="21"/>
              </w:rPr>
            </w:pPr>
          </w:p>
        </w:tc>
        <w:tc>
          <w:tcPr>
            <w:tcW w:w="1341"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kern w:val="0"/>
                <w:sz w:val="21"/>
                <w:szCs w:val="21"/>
              </w:rPr>
            </w:pPr>
          </w:p>
        </w:tc>
      </w:tr>
      <w:tr>
        <w:tblPrEx>
          <w:tblCellMar>
            <w:top w:w="0" w:type="dxa"/>
            <w:left w:w="108" w:type="dxa"/>
            <w:bottom w:w="0" w:type="dxa"/>
            <w:right w:w="108" w:type="dxa"/>
          </w:tblCellMar>
        </w:tblPrEx>
        <w:trPr>
          <w:gridBefore w:val="1"/>
          <w:wBefore w:w="93" w:type="dxa"/>
          <w:trHeight w:val="402" w:hRule="atLeast"/>
        </w:trPr>
        <w:tc>
          <w:tcPr>
            <w:tcW w:w="3595" w:type="dxa"/>
            <w:gridSpan w:val="4"/>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kern w:val="0"/>
                <w:sz w:val="21"/>
                <w:szCs w:val="21"/>
              </w:rPr>
            </w:pP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kern w:val="0"/>
                <w:sz w:val="21"/>
                <w:szCs w:val="21"/>
              </w:rPr>
            </w:pPr>
          </w:p>
        </w:tc>
        <w:tc>
          <w:tcPr>
            <w:tcW w:w="1078" w:type="dxa"/>
            <w:gridSpan w:val="2"/>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p>
        </w:tc>
        <w:tc>
          <w:tcPr>
            <w:tcW w:w="3880" w:type="dxa"/>
            <w:gridSpan w:val="11"/>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十、住房保障支出</w:t>
            </w:r>
          </w:p>
        </w:tc>
        <w:tc>
          <w:tcPr>
            <w:tcW w:w="598"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24</w:t>
            </w:r>
          </w:p>
        </w:tc>
        <w:tc>
          <w:tcPr>
            <w:tcW w:w="1573" w:type="dxa"/>
            <w:gridSpan w:val="4"/>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31.11</w:t>
            </w:r>
          </w:p>
        </w:tc>
        <w:tc>
          <w:tcPr>
            <w:tcW w:w="1394" w:type="dxa"/>
            <w:gridSpan w:val="5"/>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31.11</w:t>
            </w:r>
          </w:p>
        </w:tc>
        <w:tc>
          <w:tcPr>
            <w:tcW w:w="1394" w:type="dxa"/>
            <w:gridSpan w:val="5"/>
            <w:tcBorders>
              <w:top w:val="nil"/>
              <w:left w:val="nil"/>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kern w:val="0"/>
                <w:sz w:val="21"/>
                <w:szCs w:val="21"/>
              </w:rPr>
            </w:pPr>
          </w:p>
        </w:tc>
        <w:tc>
          <w:tcPr>
            <w:tcW w:w="1341"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kern w:val="0"/>
                <w:sz w:val="21"/>
                <w:szCs w:val="21"/>
              </w:rPr>
            </w:pPr>
          </w:p>
        </w:tc>
      </w:tr>
      <w:tr>
        <w:tblPrEx>
          <w:tblCellMar>
            <w:top w:w="0" w:type="dxa"/>
            <w:left w:w="108" w:type="dxa"/>
            <w:bottom w:w="0" w:type="dxa"/>
            <w:right w:w="108" w:type="dxa"/>
          </w:tblCellMar>
        </w:tblPrEx>
        <w:trPr>
          <w:gridBefore w:val="1"/>
          <w:wBefore w:w="93" w:type="dxa"/>
          <w:trHeight w:val="402" w:hRule="atLeast"/>
        </w:trPr>
        <w:tc>
          <w:tcPr>
            <w:tcW w:w="3595" w:type="dxa"/>
            <w:gridSpan w:val="4"/>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b/>
                <w:bCs/>
                <w:kern w:val="0"/>
                <w:sz w:val="21"/>
                <w:szCs w:val="21"/>
              </w:rPr>
            </w:pPr>
            <w:r>
              <w:rPr>
                <w:rFonts w:hint="eastAsia" w:asciiTheme="minorEastAsia" w:hAnsiTheme="minorEastAsia" w:eastAsiaTheme="minorEastAsia" w:cstheme="minorEastAsia"/>
                <w:b/>
                <w:bCs/>
                <w:kern w:val="0"/>
                <w:sz w:val="21"/>
                <w:szCs w:val="21"/>
              </w:rPr>
              <w:t>本年收入合计</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9</w:t>
            </w:r>
          </w:p>
        </w:tc>
        <w:tc>
          <w:tcPr>
            <w:tcW w:w="1078" w:type="dxa"/>
            <w:gridSpan w:val="2"/>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b/>
                <w:bCs/>
                <w:kern w:val="0"/>
                <w:sz w:val="21"/>
                <w:szCs w:val="21"/>
                <w:lang w:val="en-US" w:eastAsia="zh-CN"/>
              </w:rPr>
              <w:t>954.87</w:t>
            </w:r>
            <w:r>
              <w:rPr>
                <w:rFonts w:hint="eastAsia" w:asciiTheme="minorEastAsia" w:hAnsiTheme="minorEastAsia" w:eastAsiaTheme="minorEastAsia" w:cstheme="minorEastAsia"/>
                <w:b/>
                <w:bCs/>
                <w:kern w:val="0"/>
                <w:sz w:val="21"/>
                <w:szCs w:val="21"/>
              </w:rPr>
              <w:t>　</w:t>
            </w:r>
          </w:p>
        </w:tc>
        <w:tc>
          <w:tcPr>
            <w:tcW w:w="3880" w:type="dxa"/>
            <w:gridSpan w:val="11"/>
            <w:tcBorders>
              <w:top w:val="nil"/>
              <w:left w:val="nil"/>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b/>
                <w:bCs/>
                <w:kern w:val="0"/>
                <w:sz w:val="21"/>
                <w:szCs w:val="21"/>
              </w:rPr>
            </w:pPr>
            <w:r>
              <w:rPr>
                <w:rFonts w:hint="eastAsia" w:asciiTheme="minorEastAsia" w:hAnsiTheme="minorEastAsia" w:eastAsiaTheme="minorEastAsia" w:cstheme="minorEastAsia"/>
                <w:b/>
                <w:bCs/>
                <w:kern w:val="0"/>
                <w:sz w:val="21"/>
                <w:szCs w:val="21"/>
              </w:rPr>
              <w:t>本年支出合计</w:t>
            </w:r>
          </w:p>
        </w:tc>
        <w:tc>
          <w:tcPr>
            <w:tcW w:w="598"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rPr>
              <w:t>2</w:t>
            </w:r>
            <w:r>
              <w:rPr>
                <w:rFonts w:hint="eastAsia" w:asciiTheme="minorEastAsia" w:hAnsiTheme="minorEastAsia" w:eastAsiaTheme="minorEastAsia" w:cstheme="minorEastAsia"/>
                <w:kern w:val="0"/>
                <w:sz w:val="21"/>
                <w:szCs w:val="21"/>
                <w:lang w:val="en-US" w:eastAsia="zh-CN"/>
              </w:rPr>
              <w:t>5</w:t>
            </w:r>
          </w:p>
        </w:tc>
        <w:tc>
          <w:tcPr>
            <w:tcW w:w="1573" w:type="dxa"/>
            <w:gridSpan w:val="4"/>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b/>
                <w:bCs/>
                <w:kern w:val="0"/>
                <w:sz w:val="21"/>
                <w:szCs w:val="21"/>
              </w:rPr>
            </w:pPr>
            <w:r>
              <w:rPr>
                <w:rFonts w:hint="eastAsia" w:asciiTheme="minorEastAsia" w:hAnsiTheme="minorEastAsia" w:eastAsiaTheme="minorEastAsia" w:cstheme="minorEastAsia"/>
                <w:b/>
                <w:bCs/>
                <w:kern w:val="0"/>
                <w:sz w:val="21"/>
                <w:szCs w:val="21"/>
                <w:lang w:val="en-US" w:eastAsia="zh-CN"/>
              </w:rPr>
              <w:t>954.87</w:t>
            </w:r>
            <w:r>
              <w:rPr>
                <w:rFonts w:hint="eastAsia" w:asciiTheme="minorEastAsia" w:hAnsiTheme="minorEastAsia" w:eastAsiaTheme="minorEastAsia" w:cstheme="minorEastAsia"/>
                <w:b/>
                <w:bCs/>
                <w:kern w:val="0"/>
                <w:sz w:val="21"/>
                <w:szCs w:val="21"/>
              </w:rPr>
              <w:t>　</w:t>
            </w:r>
          </w:p>
        </w:tc>
        <w:tc>
          <w:tcPr>
            <w:tcW w:w="1394" w:type="dxa"/>
            <w:gridSpan w:val="5"/>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b/>
                <w:bCs/>
                <w:kern w:val="0"/>
                <w:sz w:val="21"/>
                <w:szCs w:val="21"/>
              </w:rPr>
            </w:pPr>
            <w:r>
              <w:rPr>
                <w:rFonts w:hint="eastAsia" w:asciiTheme="minorEastAsia" w:hAnsiTheme="minorEastAsia" w:eastAsiaTheme="minorEastAsia" w:cstheme="minorEastAsia"/>
                <w:b/>
                <w:bCs/>
                <w:kern w:val="0"/>
                <w:sz w:val="21"/>
                <w:szCs w:val="21"/>
                <w:lang w:val="en-US" w:eastAsia="zh-CN"/>
              </w:rPr>
              <w:t>954.87</w:t>
            </w:r>
            <w:r>
              <w:rPr>
                <w:rFonts w:hint="eastAsia" w:asciiTheme="minorEastAsia" w:hAnsiTheme="minorEastAsia" w:eastAsiaTheme="minorEastAsia" w:cstheme="minorEastAsia"/>
                <w:b/>
                <w:bCs/>
                <w:kern w:val="0"/>
                <w:sz w:val="21"/>
                <w:szCs w:val="21"/>
              </w:rPr>
              <w:t>　</w:t>
            </w:r>
          </w:p>
        </w:tc>
        <w:tc>
          <w:tcPr>
            <w:tcW w:w="1394" w:type="dxa"/>
            <w:gridSpan w:val="5"/>
            <w:tcBorders>
              <w:top w:val="nil"/>
              <w:left w:val="nil"/>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1341" w:type="dxa"/>
            <w:gridSpan w:val="3"/>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b/>
                <w:bCs/>
                <w:kern w:val="0"/>
                <w:sz w:val="21"/>
                <w:szCs w:val="21"/>
              </w:rPr>
            </w:pPr>
            <w:r>
              <w:rPr>
                <w:rFonts w:hint="eastAsia" w:asciiTheme="minorEastAsia" w:hAnsiTheme="minorEastAsia" w:eastAsiaTheme="minorEastAsia" w:cstheme="minorEastAsia"/>
                <w:b/>
                <w:bCs/>
                <w:kern w:val="0"/>
                <w:sz w:val="21"/>
                <w:szCs w:val="21"/>
              </w:rPr>
              <w:t>　</w:t>
            </w:r>
          </w:p>
        </w:tc>
      </w:tr>
      <w:tr>
        <w:tblPrEx>
          <w:tblCellMar>
            <w:top w:w="0" w:type="dxa"/>
            <w:left w:w="108" w:type="dxa"/>
            <w:bottom w:w="0" w:type="dxa"/>
            <w:right w:w="108" w:type="dxa"/>
          </w:tblCellMar>
        </w:tblPrEx>
        <w:trPr>
          <w:gridBefore w:val="1"/>
          <w:wBefore w:w="93" w:type="dxa"/>
          <w:trHeight w:val="402" w:hRule="atLeast"/>
        </w:trPr>
        <w:tc>
          <w:tcPr>
            <w:tcW w:w="3595" w:type="dxa"/>
            <w:gridSpan w:val="4"/>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年初财政拨款结转和结余</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10</w:t>
            </w:r>
          </w:p>
        </w:tc>
        <w:tc>
          <w:tcPr>
            <w:tcW w:w="1078" w:type="dxa"/>
            <w:gridSpan w:val="2"/>
            <w:tcBorders>
              <w:top w:val="nil"/>
              <w:left w:val="nil"/>
              <w:bottom w:val="single" w:color="auto" w:sz="4" w:space="0"/>
              <w:right w:val="single" w:color="auto" w:sz="4" w:space="0"/>
            </w:tcBorders>
            <w:shd w:val="clear" w:color="auto" w:fill="auto"/>
            <w:noWrap/>
            <w:vAlign w:val="top"/>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3880" w:type="dxa"/>
            <w:gridSpan w:val="11"/>
            <w:tcBorders>
              <w:top w:val="nil"/>
              <w:left w:val="nil"/>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年末财政拨款结转和结余</w:t>
            </w:r>
          </w:p>
        </w:tc>
        <w:tc>
          <w:tcPr>
            <w:tcW w:w="598"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kern w:val="0"/>
                <w:sz w:val="21"/>
                <w:szCs w:val="21"/>
                <w:lang w:eastAsia="zh-CN"/>
              </w:rPr>
            </w:pPr>
            <w:r>
              <w:rPr>
                <w:rFonts w:hint="eastAsia" w:asciiTheme="minorEastAsia" w:hAnsiTheme="minorEastAsia" w:eastAsiaTheme="minorEastAsia" w:cstheme="minorEastAsia"/>
                <w:kern w:val="0"/>
                <w:sz w:val="21"/>
                <w:szCs w:val="21"/>
              </w:rPr>
              <w:t>2</w:t>
            </w:r>
            <w:r>
              <w:rPr>
                <w:rFonts w:hint="eastAsia" w:asciiTheme="minorEastAsia" w:hAnsiTheme="minorEastAsia" w:eastAsiaTheme="minorEastAsia" w:cstheme="minorEastAsia"/>
                <w:kern w:val="0"/>
                <w:sz w:val="21"/>
                <w:szCs w:val="21"/>
                <w:lang w:val="en-US" w:eastAsia="zh-CN"/>
              </w:rPr>
              <w:t>6</w:t>
            </w:r>
          </w:p>
        </w:tc>
        <w:tc>
          <w:tcPr>
            <w:tcW w:w="1573" w:type="dxa"/>
            <w:gridSpan w:val="4"/>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1394" w:type="dxa"/>
            <w:gridSpan w:val="5"/>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1394" w:type="dxa"/>
            <w:gridSpan w:val="5"/>
            <w:tcBorders>
              <w:top w:val="nil"/>
              <w:left w:val="nil"/>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1341" w:type="dxa"/>
            <w:gridSpan w:val="3"/>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r>
      <w:tr>
        <w:tblPrEx>
          <w:tblCellMar>
            <w:top w:w="0" w:type="dxa"/>
            <w:left w:w="108" w:type="dxa"/>
            <w:bottom w:w="0" w:type="dxa"/>
            <w:right w:w="108" w:type="dxa"/>
          </w:tblCellMar>
        </w:tblPrEx>
        <w:trPr>
          <w:gridBefore w:val="1"/>
          <w:wBefore w:w="93" w:type="dxa"/>
          <w:trHeight w:val="402" w:hRule="atLeast"/>
        </w:trPr>
        <w:tc>
          <w:tcPr>
            <w:tcW w:w="3595" w:type="dxa"/>
            <w:gridSpan w:val="4"/>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xml:space="preserve">   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11</w:t>
            </w:r>
          </w:p>
        </w:tc>
        <w:tc>
          <w:tcPr>
            <w:tcW w:w="1078" w:type="dxa"/>
            <w:gridSpan w:val="2"/>
            <w:tcBorders>
              <w:top w:val="nil"/>
              <w:left w:val="nil"/>
              <w:bottom w:val="single" w:color="auto" w:sz="4" w:space="0"/>
              <w:right w:val="single" w:color="auto" w:sz="4" w:space="0"/>
            </w:tcBorders>
            <w:shd w:val="clear" w:color="auto" w:fill="auto"/>
            <w:noWrap/>
            <w:vAlign w:val="top"/>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3880" w:type="dxa"/>
            <w:gridSpan w:val="11"/>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598"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kern w:val="0"/>
                <w:sz w:val="21"/>
                <w:szCs w:val="21"/>
                <w:lang w:eastAsia="zh-CN"/>
              </w:rPr>
            </w:pPr>
            <w:r>
              <w:rPr>
                <w:rFonts w:hint="eastAsia" w:asciiTheme="minorEastAsia" w:hAnsiTheme="minorEastAsia" w:eastAsiaTheme="minorEastAsia" w:cstheme="minorEastAsia"/>
                <w:kern w:val="0"/>
                <w:sz w:val="21"/>
                <w:szCs w:val="21"/>
              </w:rPr>
              <w:t>2</w:t>
            </w:r>
            <w:r>
              <w:rPr>
                <w:rFonts w:hint="eastAsia" w:asciiTheme="minorEastAsia" w:hAnsiTheme="minorEastAsia" w:eastAsiaTheme="minorEastAsia" w:cstheme="minorEastAsia"/>
                <w:kern w:val="0"/>
                <w:sz w:val="21"/>
                <w:szCs w:val="21"/>
                <w:lang w:val="en-US" w:eastAsia="zh-CN"/>
              </w:rPr>
              <w:t>7</w:t>
            </w:r>
          </w:p>
        </w:tc>
        <w:tc>
          <w:tcPr>
            <w:tcW w:w="1573" w:type="dxa"/>
            <w:gridSpan w:val="4"/>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1394" w:type="dxa"/>
            <w:gridSpan w:val="5"/>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1394" w:type="dxa"/>
            <w:gridSpan w:val="5"/>
            <w:tcBorders>
              <w:top w:val="nil"/>
              <w:left w:val="nil"/>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1341" w:type="dxa"/>
            <w:gridSpan w:val="3"/>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r>
      <w:tr>
        <w:tblPrEx>
          <w:tblCellMar>
            <w:top w:w="0" w:type="dxa"/>
            <w:left w:w="108" w:type="dxa"/>
            <w:bottom w:w="0" w:type="dxa"/>
            <w:right w:w="108" w:type="dxa"/>
          </w:tblCellMar>
        </w:tblPrEx>
        <w:trPr>
          <w:gridBefore w:val="1"/>
          <w:wBefore w:w="93" w:type="dxa"/>
          <w:trHeight w:val="402" w:hRule="atLeast"/>
        </w:trPr>
        <w:tc>
          <w:tcPr>
            <w:tcW w:w="3595" w:type="dxa"/>
            <w:gridSpan w:val="4"/>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xml:space="preserve">     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12</w:t>
            </w:r>
          </w:p>
        </w:tc>
        <w:tc>
          <w:tcPr>
            <w:tcW w:w="1078" w:type="dxa"/>
            <w:gridSpan w:val="2"/>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3880" w:type="dxa"/>
            <w:gridSpan w:val="11"/>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598"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kern w:val="0"/>
                <w:sz w:val="21"/>
                <w:szCs w:val="21"/>
                <w:lang w:eastAsia="zh-CN"/>
              </w:rPr>
            </w:pPr>
            <w:r>
              <w:rPr>
                <w:rFonts w:hint="eastAsia" w:asciiTheme="minorEastAsia" w:hAnsiTheme="minorEastAsia" w:eastAsiaTheme="minorEastAsia" w:cstheme="minorEastAsia"/>
                <w:kern w:val="0"/>
                <w:sz w:val="21"/>
                <w:szCs w:val="21"/>
              </w:rPr>
              <w:t>2</w:t>
            </w:r>
            <w:r>
              <w:rPr>
                <w:rFonts w:hint="eastAsia" w:asciiTheme="minorEastAsia" w:hAnsiTheme="minorEastAsia" w:eastAsiaTheme="minorEastAsia" w:cstheme="minorEastAsia"/>
                <w:kern w:val="0"/>
                <w:sz w:val="21"/>
                <w:szCs w:val="21"/>
                <w:lang w:val="en-US" w:eastAsia="zh-CN"/>
              </w:rPr>
              <w:t>8</w:t>
            </w:r>
          </w:p>
        </w:tc>
        <w:tc>
          <w:tcPr>
            <w:tcW w:w="1573" w:type="dxa"/>
            <w:gridSpan w:val="4"/>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1394" w:type="dxa"/>
            <w:gridSpan w:val="5"/>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1394" w:type="dxa"/>
            <w:gridSpan w:val="5"/>
            <w:tcBorders>
              <w:top w:val="nil"/>
              <w:left w:val="nil"/>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1341" w:type="dxa"/>
            <w:gridSpan w:val="3"/>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r>
      <w:tr>
        <w:tblPrEx>
          <w:tblCellMar>
            <w:top w:w="0" w:type="dxa"/>
            <w:left w:w="108" w:type="dxa"/>
            <w:bottom w:w="0" w:type="dxa"/>
            <w:right w:w="108" w:type="dxa"/>
          </w:tblCellMar>
        </w:tblPrEx>
        <w:trPr>
          <w:gridBefore w:val="1"/>
          <w:wBefore w:w="93" w:type="dxa"/>
          <w:trHeight w:val="402" w:hRule="atLeast"/>
        </w:trPr>
        <w:tc>
          <w:tcPr>
            <w:tcW w:w="3595" w:type="dxa"/>
            <w:gridSpan w:val="4"/>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xml:space="preserve">      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13</w:t>
            </w:r>
          </w:p>
        </w:tc>
        <w:tc>
          <w:tcPr>
            <w:tcW w:w="1078" w:type="dxa"/>
            <w:gridSpan w:val="2"/>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3880" w:type="dxa"/>
            <w:gridSpan w:val="11"/>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598" w:type="dxa"/>
            <w:gridSpan w:val="3"/>
            <w:tcBorders>
              <w:top w:val="nil"/>
              <w:left w:val="nil"/>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kern w:val="0"/>
                <w:sz w:val="21"/>
                <w:szCs w:val="21"/>
                <w:lang w:eastAsia="zh-CN"/>
              </w:rPr>
            </w:pPr>
            <w:r>
              <w:rPr>
                <w:rFonts w:hint="eastAsia" w:asciiTheme="minorEastAsia" w:hAnsiTheme="minorEastAsia" w:eastAsiaTheme="minorEastAsia" w:cstheme="minorEastAsia"/>
                <w:kern w:val="0"/>
                <w:sz w:val="21"/>
                <w:szCs w:val="21"/>
              </w:rPr>
              <w:t>2</w:t>
            </w:r>
            <w:r>
              <w:rPr>
                <w:rFonts w:hint="eastAsia" w:asciiTheme="minorEastAsia" w:hAnsiTheme="minorEastAsia" w:eastAsiaTheme="minorEastAsia" w:cstheme="minorEastAsia"/>
                <w:kern w:val="0"/>
                <w:sz w:val="21"/>
                <w:szCs w:val="21"/>
                <w:lang w:val="en-US" w:eastAsia="zh-CN"/>
              </w:rPr>
              <w:t>9</w:t>
            </w:r>
          </w:p>
        </w:tc>
        <w:tc>
          <w:tcPr>
            <w:tcW w:w="1573" w:type="dxa"/>
            <w:gridSpan w:val="4"/>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1394" w:type="dxa"/>
            <w:gridSpan w:val="5"/>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1394" w:type="dxa"/>
            <w:gridSpan w:val="5"/>
            <w:tcBorders>
              <w:top w:val="nil"/>
              <w:left w:val="nil"/>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c>
          <w:tcPr>
            <w:tcW w:w="1341" w:type="dxa"/>
            <w:gridSpan w:val="3"/>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w:t>
            </w:r>
          </w:p>
        </w:tc>
      </w:tr>
      <w:tr>
        <w:tblPrEx>
          <w:tblCellMar>
            <w:top w:w="0" w:type="dxa"/>
            <w:left w:w="108" w:type="dxa"/>
            <w:bottom w:w="0" w:type="dxa"/>
            <w:right w:w="108" w:type="dxa"/>
          </w:tblCellMar>
        </w:tblPrEx>
        <w:trPr>
          <w:gridBefore w:val="1"/>
          <w:wBefore w:w="93" w:type="dxa"/>
          <w:trHeight w:val="402" w:hRule="atLeast"/>
        </w:trPr>
        <w:tc>
          <w:tcPr>
            <w:tcW w:w="3595" w:type="dxa"/>
            <w:gridSpan w:val="4"/>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hint="eastAsia" w:asciiTheme="minorEastAsia" w:hAnsiTheme="minorEastAsia" w:eastAsiaTheme="minorEastAsia" w:cstheme="minorEastAsia"/>
                <w:b/>
                <w:bCs/>
                <w:kern w:val="0"/>
                <w:sz w:val="21"/>
                <w:szCs w:val="21"/>
              </w:rPr>
            </w:pPr>
            <w:r>
              <w:rPr>
                <w:rFonts w:hint="eastAsia" w:asciiTheme="minorEastAsia" w:hAnsiTheme="minorEastAsia" w:eastAsiaTheme="minorEastAsia" w:cstheme="minorEastAsia"/>
                <w:b/>
                <w:bCs/>
                <w:kern w:val="0"/>
                <w:sz w:val="21"/>
                <w:szCs w:val="21"/>
              </w:rPr>
              <w:t>总计</w:t>
            </w:r>
          </w:p>
        </w:tc>
        <w:tc>
          <w:tcPr>
            <w:tcW w:w="436" w:type="dxa"/>
            <w:tcBorders>
              <w:top w:val="nil"/>
              <w:left w:val="nil"/>
              <w:bottom w:val="single" w:color="auto" w:sz="4" w:space="0"/>
              <w:right w:val="single" w:color="auto" w:sz="4" w:space="0"/>
            </w:tcBorders>
            <w:shd w:val="clear" w:color="000000" w:fill="FFFFFF"/>
            <w:noWrap/>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14</w:t>
            </w:r>
          </w:p>
        </w:tc>
        <w:tc>
          <w:tcPr>
            <w:tcW w:w="1078" w:type="dxa"/>
            <w:gridSpan w:val="2"/>
            <w:tcBorders>
              <w:top w:val="nil"/>
              <w:left w:val="nil"/>
              <w:bottom w:val="single" w:color="auto" w:sz="4" w:space="0"/>
              <w:right w:val="single" w:color="auto" w:sz="4" w:space="0"/>
            </w:tcBorders>
            <w:shd w:val="clear" w:color="auto" w:fill="auto"/>
            <w:noWrap/>
            <w:vAlign w:val="center"/>
          </w:tcPr>
          <w:p>
            <w:pPr>
              <w:widowControl/>
              <w:jc w:val="righ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b/>
                <w:bCs/>
                <w:kern w:val="0"/>
                <w:sz w:val="21"/>
                <w:szCs w:val="21"/>
                <w:lang w:val="en-US" w:eastAsia="zh-CN"/>
              </w:rPr>
              <w:t>954.87</w:t>
            </w:r>
            <w:r>
              <w:rPr>
                <w:rFonts w:hint="eastAsia" w:asciiTheme="minorEastAsia" w:hAnsiTheme="minorEastAsia" w:eastAsiaTheme="minorEastAsia" w:cstheme="minorEastAsia"/>
                <w:b/>
                <w:bCs/>
                <w:kern w:val="0"/>
                <w:sz w:val="21"/>
                <w:szCs w:val="21"/>
              </w:rPr>
              <w:t>　</w:t>
            </w:r>
          </w:p>
        </w:tc>
        <w:tc>
          <w:tcPr>
            <w:tcW w:w="3880" w:type="dxa"/>
            <w:gridSpan w:val="11"/>
            <w:tcBorders>
              <w:top w:val="nil"/>
              <w:left w:val="nil"/>
              <w:bottom w:val="single" w:color="auto" w:sz="4" w:space="0"/>
              <w:right w:val="single" w:color="auto" w:sz="4" w:space="0"/>
            </w:tcBorders>
            <w:shd w:val="clear" w:color="000000" w:fill="FFFFFF"/>
            <w:noWrap/>
            <w:vAlign w:val="center"/>
          </w:tcPr>
          <w:p>
            <w:pPr>
              <w:widowControl/>
              <w:jc w:val="center"/>
              <w:rPr>
                <w:rFonts w:hint="eastAsia" w:asciiTheme="minorEastAsia" w:hAnsiTheme="minorEastAsia" w:eastAsiaTheme="minorEastAsia" w:cstheme="minorEastAsia"/>
                <w:b/>
                <w:bCs/>
                <w:kern w:val="0"/>
                <w:sz w:val="21"/>
                <w:szCs w:val="21"/>
              </w:rPr>
            </w:pPr>
            <w:r>
              <w:rPr>
                <w:rFonts w:hint="eastAsia" w:asciiTheme="minorEastAsia" w:hAnsiTheme="minorEastAsia" w:eastAsiaTheme="minorEastAsia" w:cstheme="minorEastAsia"/>
                <w:b/>
                <w:bCs/>
                <w:kern w:val="0"/>
                <w:sz w:val="21"/>
                <w:szCs w:val="21"/>
              </w:rPr>
              <w:t>总计</w:t>
            </w:r>
          </w:p>
        </w:tc>
        <w:tc>
          <w:tcPr>
            <w:tcW w:w="598" w:type="dxa"/>
            <w:gridSpan w:val="3"/>
            <w:tcBorders>
              <w:top w:val="nil"/>
              <w:left w:val="nil"/>
              <w:bottom w:val="single" w:color="auto" w:sz="4" w:space="0"/>
              <w:right w:val="single" w:color="auto" w:sz="4" w:space="0"/>
            </w:tcBorders>
            <w:shd w:val="clear" w:color="000000" w:fill="FFFFFF"/>
            <w:noWrap/>
            <w:vAlign w:val="center"/>
          </w:tcPr>
          <w:p>
            <w:pPr>
              <w:widowControl/>
              <w:jc w:val="center"/>
              <w:rPr>
                <w:rFonts w:hint="eastAsia" w:asciiTheme="minorEastAsia" w:hAnsiTheme="minorEastAsia" w:eastAsiaTheme="minorEastAsia" w:cstheme="minorEastAsia"/>
                <w:kern w:val="0"/>
                <w:sz w:val="21"/>
                <w:szCs w:val="21"/>
                <w:lang w:eastAsia="zh-CN"/>
              </w:rPr>
            </w:pPr>
            <w:r>
              <w:rPr>
                <w:rFonts w:hint="eastAsia" w:asciiTheme="minorEastAsia" w:hAnsiTheme="minorEastAsia" w:eastAsiaTheme="minorEastAsia" w:cstheme="minorEastAsia"/>
                <w:kern w:val="0"/>
                <w:sz w:val="21"/>
                <w:szCs w:val="21"/>
              </w:rPr>
              <w:t>2</w:t>
            </w:r>
            <w:r>
              <w:rPr>
                <w:rFonts w:hint="eastAsia" w:asciiTheme="minorEastAsia" w:hAnsiTheme="minorEastAsia" w:eastAsiaTheme="minorEastAsia" w:cstheme="minorEastAsia"/>
                <w:kern w:val="0"/>
                <w:sz w:val="21"/>
                <w:szCs w:val="21"/>
                <w:lang w:val="en-US" w:eastAsia="zh-CN"/>
              </w:rPr>
              <w:t>9</w:t>
            </w:r>
          </w:p>
        </w:tc>
        <w:tc>
          <w:tcPr>
            <w:tcW w:w="1573" w:type="dxa"/>
            <w:gridSpan w:val="4"/>
            <w:tcBorders>
              <w:top w:val="nil"/>
              <w:left w:val="nil"/>
              <w:bottom w:val="single" w:color="auto" w:sz="4" w:space="0"/>
              <w:right w:val="single" w:color="auto" w:sz="4" w:space="0"/>
            </w:tcBorders>
            <w:shd w:val="clear" w:color="000000" w:fill="FFFFFF"/>
            <w:noWrap/>
            <w:vAlign w:val="center"/>
          </w:tcPr>
          <w:p>
            <w:pPr>
              <w:widowControl/>
              <w:jc w:val="right"/>
              <w:rPr>
                <w:rFonts w:hint="eastAsia" w:asciiTheme="minorEastAsia" w:hAnsiTheme="minorEastAsia" w:eastAsiaTheme="minorEastAsia" w:cstheme="minorEastAsia"/>
                <w:b/>
                <w:bCs/>
                <w:kern w:val="0"/>
                <w:sz w:val="21"/>
                <w:szCs w:val="21"/>
                <w:lang w:val="en-US" w:eastAsia="zh-CN"/>
              </w:rPr>
            </w:pPr>
            <w:r>
              <w:rPr>
                <w:rFonts w:hint="eastAsia" w:asciiTheme="minorEastAsia" w:hAnsiTheme="minorEastAsia" w:eastAsiaTheme="minorEastAsia" w:cstheme="minorEastAsia"/>
                <w:b/>
                <w:bCs/>
                <w:kern w:val="0"/>
                <w:sz w:val="21"/>
                <w:szCs w:val="21"/>
                <w:lang w:val="en-US" w:eastAsia="zh-CN"/>
              </w:rPr>
              <w:t>954.87</w:t>
            </w:r>
          </w:p>
        </w:tc>
        <w:tc>
          <w:tcPr>
            <w:tcW w:w="1394" w:type="dxa"/>
            <w:gridSpan w:val="5"/>
            <w:tcBorders>
              <w:top w:val="nil"/>
              <w:left w:val="nil"/>
              <w:bottom w:val="single" w:color="auto" w:sz="4" w:space="0"/>
              <w:right w:val="single" w:color="auto" w:sz="4" w:space="0"/>
            </w:tcBorders>
            <w:shd w:val="clear" w:color="000000" w:fill="FFFFFF"/>
            <w:noWrap/>
            <w:vAlign w:val="center"/>
          </w:tcPr>
          <w:p>
            <w:pPr>
              <w:widowControl/>
              <w:jc w:val="right"/>
              <w:rPr>
                <w:rFonts w:hint="eastAsia" w:asciiTheme="minorEastAsia" w:hAnsiTheme="minorEastAsia" w:eastAsiaTheme="minorEastAsia" w:cstheme="minorEastAsia"/>
                <w:b/>
                <w:bCs/>
                <w:kern w:val="0"/>
                <w:sz w:val="21"/>
                <w:szCs w:val="21"/>
                <w:lang w:val="en-US" w:eastAsia="zh-CN"/>
              </w:rPr>
            </w:pPr>
            <w:r>
              <w:rPr>
                <w:rFonts w:hint="eastAsia" w:asciiTheme="minorEastAsia" w:hAnsiTheme="minorEastAsia" w:eastAsiaTheme="minorEastAsia" w:cstheme="minorEastAsia"/>
                <w:b/>
                <w:bCs/>
                <w:kern w:val="0"/>
                <w:sz w:val="21"/>
                <w:szCs w:val="21"/>
              </w:rPr>
              <w:t>　</w:t>
            </w:r>
            <w:r>
              <w:rPr>
                <w:rFonts w:hint="eastAsia" w:asciiTheme="minorEastAsia" w:hAnsiTheme="minorEastAsia" w:eastAsiaTheme="minorEastAsia" w:cstheme="minorEastAsia"/>
                <w:b/>
                <w:bCs/>
                <w:kern w:val="0"/>
                <w:sz w:val="21"/>
                <w:szCs w:val="21"/>
                <w:lang w:val="en-US" w:eastAsia="zh-CN"/>
              </w:rPr>
              <w:t>954.87</w:t>
            </w:r>
          </w:p>
        </w:tc>
        <w:tc>
          <w:tcPr>
            <w:tcW w:w="1394" w:type="dxa"/>
            <w:gridSpan w:val="5"/>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b/>
                <w:bCs/>
                <w:kern w:val="0"/>
                <w:sz w:val="21"/>
                <w:szCs w:val="21"/>
              </w:rPr>
            </w:pPr>
            <w:r>
              <w:rPr>
                <w:rFonts w:hint="eastAsia" w:asciiTheme="minorEastAsia" w:hAnsiTheme="minorEastAsia" w:eastAsiaTheme="minorEastAsia" w:cstheme="minorEastAsia"/>
                <w:b/>
                <w:bCs/>
                <w:kern w:val="0"/>
                <w:sz w:val="21"/>
                <w:szCs w:val="21"/>
              </w:rPr>
              <w:t>　</w:t>
            </w:r>
          </w:p>
        </w:tc>
        <w:tc>
          <w:tcPr>
            <w:tcW w:w="1341" w:type="dxa"/>
            <w:gridSpan w:val="3"/>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b/>
                <w:bCs/>
                <w:kern w:val="0"/>
                <w:sz w:val="21"/>
                <w:szCs w:val="21"/>
              </w:rPr>
            </w:pPr>
            <w:r>
              <w:rPr>
                <w:rFonts w:hint="eastAsia" w:asciiTheme="minorEastAsia" w:hAnsiTheme="minorEastAsia" w:eastAsiaTheme="minorEastAsia" w:cstheme="minorEastAsia"/>
                <w:b/>
                <w:bCs/>
                <w:kern w:val="0"/>
                <w:sz w:val="21"/>
                <w:szCs w:val="21"/>
              </w:rPr>
              <w:t>　</w:t>
            </w:r>
          </w:p>
        </w:tc>
      </w:tr>
      <w:tr>
        <w:tblPrEx>
          <w:tblCellMar>
            <w:top w:w="0" w:type="dxa"/>
            <w:left w:w="108" w:type="dxa"/>
            <w:bottom w:w="0" w:type="dxa"/>
            <w:right w:w="108" w:type="dxa"/>
          </w:tblCellMar>
        </w:tblPrEx>
        <w:trPr>
          <w:gridBefore w:val="1"/>
          <w:wBefore w:w="93" w:type="dxa"/>
          <w:trHeight w:val="585" w:hRule="atLeast"/>
        </w:trPr>
        <w:tc>
          <w:tcPr>
            <w:tcW w:w="15289" w:type="dxa"/>
            <w:gridSpan w:val="38"/>
            <w:tcBorders>
              <w:top w:val="nil"/>
              <w:left w:val="nil"/>
              <w:bottom w:val="nil"/>
              <w:right w:val="nil"/>
            </w:tcBorders>
            <w:shd w:val="clear" w:color="auto" w:fill="auto"/>
            <w:vAlign w:val="center"/>
          </w:tcPr>
          <w:p>
            <w:pPr>
              <w:widowControl/>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注：本表反映部门本年度一般公共预算财政拨款、政府性基金预算财政拨款和国有资本经营预算财政拨款的总收支和年末结转结余情况。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96" w:type="dxa"/>
          <w:trHeight w:val="384" w:hRule="atLeast"/>
          <w:jc w:val="center"/>
        </w:trPr>
        <w:tc>
          <w:tcPr>
            <w:tcW w:w="15286" w:type="dxa"/>
            <w:gridSpan w:val="38"/>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一般公共预算财政拨款收入支出决算批复表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96" w:type="dxa"/>
          <w:trHeight w:val="320" w:hRule="atLeast"/>
          <w:jc w:val="center"/>
        </w:trPr>
        <w:tc>
          <w:tcPr>
            <w:tcW w:w="661" w:type="dxa"/>
            <w:gridSpan w:val="2"/>
            <w:tcBorders>
              <w:top w:val="nil"/>
              <w:left w:val="nil"/>
              <w:bottom w:val="nil"/>
              <w:right w:val="nil"/>
            </w:tcBorders>
            <w:shd w:val="clear" w:color="auto" w:fill="auto"/>
            <w:noWrap/>
            <w:vAlign w:val="bottom"/>
          </w:tcPr>
          <w:p>
            <w:pPr>
              <w:rPr>
                <w:rFonts w:hint="eastAsia" w:ascii="Arial" w:hAnsi="Arial" w:cs="Arial"/>
                <w:i w:val="0"/>
                <w:iCs w:val="0"/>
                <w:color w:val="000000"/>
                <w:sz w:val="20"/>
                <w:szCs w:val="20"/>
                <w:u w:val="none"/>
              </w:rPr>
            </w:pPr>
          </w:p>
        </w:tc>
        <w:tc>
          <w:tcPr>
            <w:tcW w:w="630"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555" w:type="dxa"/>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2670" w:type="dxa"/>
            <w:gridSpan w:val="3"/>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765" w:type="dxa"/>
            <w:gridSpan w:val="2"/>
            <w:tcBorders>
              <w:top w:val="nil"/>
              <w:left w:val="nil"/>
              <w:bottom w:val="nil"/>
              <w:right w:val="nil"/>
            </w:tcBorders>
            <w:shd w:val="clear" w:color="auto" w:fill="auto"/>
            <w:vAlign w:val="bottom"/>
          </w:tcPr>
          <w:p>
            <w:pPr>
              <w:rPr>
                <w:rFonts w:hint="default" w:ascii="Arial" w:hAnsi="Arial" w:cs="Arial"/>
                <w:i w:val="0"/>
                <w:iCs w:val="0"/>
                <w:color w:val="000000"/>
                <w:sz w:val="20"/>
                <w:szCs w:val="20"/>
                <w:u w:val="none"/>
              </w:rPr>
            </w:pPr>
          </w:p>
        </w:tc>
        <w:tc>
          <w:tcPr>
            <w:tcW w:w="795" w:type="dxa"/>
            <w:gridSpan w:val="2"/>
            <w:tcBorders>
              <w:top w:val="nil"/>
              <w:left w:val="nil"/>
              <w:bottom w:val="nil"/>
              <w:right w:val="nil"/>
            </w:tcBorders>
            <w:shd w:val="clear" w:color="auto" w:fill="auto"/>
            <w:vAlign w:val="bottom"/>
          </w:tcPr>
          <w:p>
            <w:pPr>
              <w:rPr>
                <w:rFonts w:hint="default" w:ascii="Arial" w:hAnsi="Arial" w:cs="Arial"/>
                <w:i w:val="0"/>
                <w:iCs w:val="0"/>
                <w:color w:val="000000"/>
                <w:sz w:val="20"/>
                <w:szCs w:val="20"/>
                <w:u w:val="none"/>
              </w:rPr>
            </w:pPr>
          </w:p>
        </w:tc>
        <w:tc>
          <w:tcPr>
            <w:tcW w:w="720" w:type="dxa"/>
            <w:gridSpan w:val="2"/>
            <w:tcBorders>
              <w:top w:val="nil"/>
              <w:left w:val="nil"/>
              <w:bottom w:val="nil"/>
              <w:right w:val="nil"/>
            </w:tcBorders>
            <w:shd w:val="clear" w:color="auto" w:fill="auto"/>
            <w:vAlign w:val="bottom"/>
          </w:tcPr>
          <w:p>
            <w:pPr>
              <w:rPr>
                <w:rFonts w:hint="default" w:ascii="Arial" w:hAnsi="Arial" w:cs="Arial"/>
                <w:i w:val="0"/>
                <w:iCs w:val="0"/>
                <w:color w:val="000000"/>
                <w:sz w:val="20"/>
                <w:szCs w:val="20"/>
                <w:u w:val="none"/>
              </w:rPr>
            </w:pPr>
          </w:p>
        </w:tc>
        <w:tc>
          <w:tcPr>
            <w:tcW w:w="915" w:type="dxa"/>
            <w:gridSpan w:val="2"/>
            <w:tcBorders>
              <w:top w:val="nil"/>
              <w:left w:val="nil"/>
              <w:bottom w:val="nil"/>
              <w:right w:val="nil"/>
            </w:tcBorders>
            <w:shd w:val="clear" w:color="auto" w:fill="auto"/>
            <w:vAlign w:val="bottom"/>
          </w:tcPr>
          <w:p>
            <w:pPr>
              <w:rPr>
                <w:rFonts w:hint="default" w:ascii="Arial" w:hAnsi="Arial" w:cs="Arial"/>
                <w:i w:val="0"/>
                <w:iCs w:val="0"/>
                <w:color w:val="000000"/>
                <w:sz w:val="20"/>
                <w:szCs w:val="20"/>
                <w:u w:val="none"/>
              </w:rPr>
            </w:pPr>
          </w:p>
        </w:tc>
        <w:tc>
          <w:tcPr>
            <w:tcW w:w="900" w:type="dxa"/>
            <w:gridSpan w:val="2"/>
            <w:tcBorders>
              <w:top w:val="nil"/>
              <w:left w:val="nil"/>
              <w:bottom w:val="nil"/>
              <w:right w:val="nil"/>
            </w:tcBorders>
            <w:shd w:val="clear" w:color="auto" w:fill="auto"/>
            <w:vAlign w:val="bottom"/>
          </w:tcPr>
          <w:p>
            <w:pPr>
              <w:rPr>
                <w:rFonts w:hint="default" w:ascii="Arial" w:hAnsi="Arial" w:cs="Arial"/>
                <w:i w:val="0"/>
                <w:iCs w:val="0"/>
                <w:color w:val="000000"/>
                <w:sz w:val="20"/>
                <w:szCs w:val="20"/>
                <w:u w:val="none"/>
              </w:rPr>
            </w:pPr>
          </w:p>
        </w:tc>
        <w:tc>
          <w:tcPr>
            <w:tcW w:w="945" w:type="dxa"/>
            <w:gridSpan w:val="4"/>
            <w:tcBorders>
              <w:top w:val="nil"/>
              <w:left w:val="nil"/>
              <w:bottom w:val="nil"/>
              <w:right w:val="nil"/>
            </w:tcBorders>
            <w:shd w:val="clear" w:color="auto" w:fill="auto"/>
            <w:vAlign w:val="bottom"/>
          </w:tcPr>
          <w:p>
            <w:pPr>
              <w:rPr>
                <w:rFonts w:hint="default" w:ascii="Arial" w:hAnsi="Arial" w:cs="Arial"/>
                <w:i w:val="0"/>
                <w:iCs w:val="0"/>
                <w:color w:val="000000"/>
                <w:sz w:val="20"/>
                <w:szCs w:val="20"/>
                <w:u w:val="none"/>
              </w:rPr>
            </w:pPr>
          </w:p>
        </w:tc>
        <w:tc>
          <w:tcPr>
            <w:tcW w:w="975" w:type="dxa"/>
            <w:gridSpan w:val="3"/>
            <w:tcBorders>
              <w:top w:val="nil"/>
              <w:left w:val="nil"/>
              <w:bottom w:val="nil"/>
              <w:right w:val="nil"/>
            </w:tcBorders>
            <w:shd w:val="clear" w:color="auto" w:fill="auto"/>
            <w:vAlign w:val="bottom"/>
          </w:tcPr>
          <w:p>
            <w:pPr>
              <w:rPr>
                <w:rFonts w:hint="default" w:ascii="Arial" w:hAnsi="Arial" w:cs="Arial"/>
                <w:i w:val="0"/>
                <w:iCs w:val="0"/>
                <w:color w:val="000000"/>
                <w:sz w:val="20"/>
                <w:szCs w:val="20"/>
                <w:u w:val="none"/>
              </w:rPr>
            </w:pPr>
          </w:p>
        </w:tc>
        <w:tc>
          <w:tcPr>
            <w:tcW w:w="870" w:type="dxa"/>
            <w:gridSpan w:val="3"/>
            <w:tcBorders>
              <w:top w:val="nil"/>
              <w:left w:val="nil"/>
              <w:bottom w:val="nil"/>
              <w:right w:val="nil"/>
            </w:tcBorders>
            <w:shd w:val="clear" w:color="auto" w:fill="auto"/>
            <w:vAlign w:val="bottom"/>
          </w:tcPr>
          <w:p>
            <w:pPr>
              <w:rPr>
                <w:rFonts w:hint="default" w:ascii="Arial" w:hAnsi="Arial" w:cs="Arial"/>
                <w:i w:val="0"/>
                <w:iCs w:val="0"/>
                <w:color w:val="000000"/>
                <w:sz w:val="20"/>
                <w:szCs w:val="20"/>
                <w:u w:val="none"/>
              </w:rPr>
            </w:pPr>
          </w:p>
        </w:tc>
        <w:tc>
          <w:tcPr>
            <w:tcW w:w="945" w:type="dxa"/>
            <w:gridSpan w:val="2"/>
            <w:tcBorders>
              <w:top w:val="nil"/>
              <w:left w:val="nil"/>
              <w:bottom w:val="nil"/>
              <w:right w:val="nil"/>
            </w:tcBorders>
            <w:shd w:val="clear" w:color="auto" w:fill="auto"/>
            <w:vAlign w:val="bottom"/>
          </w:tcPr>
          <w:p>
            <w:pPr>
              <w:rPr>
                <w:rFonts w:hint="default" w:ascii="Arial" w:hAnsi="Arial" w:cs="Arial"/>
                <w:i w:val="0"/>
                <w:iCs w:val="0"/>
                <w:color w:val="000000"/>
                <w:sz w:val="20"/>
                <w:szCs w:val="20"/>
                <w:u w:val="none"/>
              </w:rPr>
            </w:pPr>
          </w:p>
        </w:tc>
        <w:tc>
          <w:tcPr>
            <w:tcW w:w="780" w:type="dxa"/>
            <w:gridSpan w:val="3"/>
            <w:tcBorders>
              <w:top w:val="nil"/>
              <w:left w:val="nil"/>
              <w:bottom w:val="nil"/>
              <w:right w:val="nil"/>
            </w:tcBorders>
            <w:shd w:val="clear" w:color="auto" w:fill="auto"/>
            <w:vAlign w:val="bottom"/>
          </w:tcPr>
          <w:p>
            <w:pPr>
              <w:rPr>
                <w:rFonts w:hint="default" w:ascii="Arial" w:hAnsi="Arial" w:cs="Arial"/>
                <w:i w:val="0"/>
                <w:iCs w:val="0"/>
                <w:color w:val="000000"/>
                <w:sz w:val="20"/>
                <w:szCs w:val="20"/>
                <w:u w:val="none"/>
              </w:rPr>
            </w:pPr>
          </w:p>
        </w:tc>
        <w:tc>
          <w:tcPr>
            <w:tcW w:w="2160" w:type="dxa"/>
            <w:gridSpan w:val="6"/>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公开05表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96" w:type="dxa"/>
          <w:trHeight w:val="320" w:hRule="atLeast"/>
          <w:jc w:val="center"/>
        </w:trPr>
        <w:tc>
          <w:tcPr>
            <w:tcW w:w="5641" w:type="dxa"/>
            <w:gridSpan w:val="10"/>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部门：怀化市民族宗教事务局</w:t>
            </w:r>
          </w:p>
        </w:tc>
        <w:tc>
          <w:tcPr>
            <w:tcW w:w="765" w:type="dxa"/>
            <w:gridSpan w:val="2"/>
            <w:tcBorders>
              <w:top w:val="nil"/>
              <w:left w:val="nil"/>
              <w:bottom w:val="nil"/>
              <w:right w:val="nil"/>
            </w:tcBorders>
            <w:shd w:val="clear" w:color="auto" w:fill="auto"/>
            <w:vAlign w:val="bottom"/>
          </w:tcPr>
          <w:p>
            <w:pPr>
              <w:rPr>
                <w:rFonts w:hint="default" w:ascii="Arial" w:hAnsi="Arial" w:cs="Arial"/>
                <w:i w:val="0"/>
                <w:iCs w:val="0"/>
                <w:color w:val="000000"/>
                <w:sz w:val="20"/>
                <w:szCs w:val="20"/>
                <w:u w:val="none"/>
              </w:rPr>
            </w:pPr>
          </w:p>
        </w:tc>
        <w:tc>
          <w:tcPr>
            <w:tcW w:w="795" w:type="dxa"/>
            <w:gridSpan w:val="2"/>
            <w:tcBorders>
              <w:top w:val="nil"/>
              <w:left w:val="nil"/>
              <w:bottom w:val="nil"/>
              <w:right w:val="nil"/>
            </w:tcBorders>
            <w:shd w:val="clear" w:color="auto" w:fill="auto"/>
            <w:vAlign w:val="bottom"/>
          </w:tcPr>
          <w:p>
            <w:pPr>
              <w:rPr>
                <w:rFonts w:hint="default" w:ascii="Arial" w:hAnsi="Arial" w:cs="Arial"/>
                <w:i w:val="0"/>
                <w:iCs w:val="0"/>
                <w:color w:val="000000"/>
                <w:sz w:val="20"/>
                <w:szCs w:val="20"/>
                <w:u w:val="none"/>
              </w:rPr>
            </w:pPr>
          </w:p>
        </w:tc>
        <w:tc>
          <w:tcPr>
            <w:tcW w:w="720" w:type="dxa"/>
            <w:gridSpan w:val="2"/>
            <w:tcBorders>
              <w:top w:val="nil"/>
              <w:left w:val="nil"/>
              <w:bottom w:val="nil"/>
              <w:right w:val="nil"/>
            </w:tcBorders>
            <w:shd w:val="clear" w:color="auto" w:fill="auto"/>
            <w:vAlign w:val="bottom"/>
          </w:tcPr>
          <w:p>
            <w:pPr>
              <w:rPr>
                <w:rFonts w:hint="default" w:ascii="Arial" w:hAnsi="Arial" w:cs="Arial"/>
                <w:i w:val="0"/>
                <w:iCs w:val="0"/>
                <w:color w:val="000000"/>
                <w:sz w:val="20"/>
                <w:szCs w:val="20"/>
                <w:u w:val="none"/>
              </w:rPr>
            </w:pPr>
          </w:p>
        </w:tc>
        <w:tc>
          <w:tcPr>
            <w:tcW w:w="915" w:type="dxa"/>
            <w:gridSpan w:val="2"/>
            <w:tcBorders>
              <w:top w:val="nil"/>
              <w:left w:val="nil"/>
              <w:bottom w:val="nil"/>
              <w:right w:val="nil"/>
            </w:tcBorders>
            <w:shd w:val="clear" w:color="auto" w:fill="auto"/>
            <w:vAlign w:val="bottom"/>
          </w:tcPr>
          <w:p>
            <w:pPr>
              <w:rPr>
                <w:rFonts w:hint="default" w:ascii="Arial" w:hAnsi="Arial" w:cs="Arial"/>
                <w:i w:val="0"/>
                <w:iCs w:val="0"/>
                <w:color w:val="000000"/>
                <w:sz w:val="20"/>
                <w:szCs w:val="20"/>
                <w:u w:val="none"/>
              </w:rPr>
            </w:pPr>
          </w:p>
        </w:tc>
        <w:tc>
          <w:tcPr>
            <w:tcW w:w="900" w:type="dxa"/>
            <w:gridSpan w:val="5"/>
            <w:tcBorders>
              <w:top w:val="nil"/>
              <w:left w:val="nil"/>
              <w:bottom w:val="nil"/>
              <w:right w:val="nil"/>
            </w:tcBorders>
            <w:shd w:val="clear" w:color="auto" w:fill="auto"/>
            <w:vAlign w:val="bottom"/>
          </w:tcPr>
          <w:p>
            <w:pPr>
              <w:rPr>
                <w:rFonts w:hint="default" w:ascii="Arial" w:hAnsi="Arial" w:cs="Arial"/>
                <w:i w:val="0"/>
                <w:iCs w:val="0"/>
                <w:color w:val="000000"/>
                <w:sz w:val="20"/>
                <w:szCs w:val="20"/>
                <w:u w:val="none"/>
              </w:rPr>
            </w:pPr>
          </w:p>
        </w:tc>
        <w:tc>
          <w:tcPr>
            <w:tcW w:w="945" w:type="dxa"/>
            <w:gridSpan w:val="2"/>
            <w:tcBorders>
              <w:top w:val="nil"/>
              <w:left w:val="nil"/>
              <w:bottom w:val="nil"/>
              <w:right w:val="nil"/>
            </w:tcBorders>
            <w:shd w:val="clear" w:color="auto" w:fill="auto"/>
            <w:vAlign w:val="bottom"/>
          </w:tcPr>
          <w:p>
            <w:pPr>
              <w:rPr>
                <w:rFonts w:hint="default" w:ascii="Arial" w:hAnsi="Arial" w:cs="Arial"/>
                <w:i w:val="0"/>
                <w:iCs w:val="0"/>
                <w:color w:val="000000"/>
                <w:sz w:val="20"/>
                <w:szCs w:val="20"/>
                <w:u w:val="none"/>
              </w:rPr>
            </w:pPr>
          </w:p>
        </w:tc>
        <w:tc>
          <w:tcPr>
            <w:tcW w:w="975" w:type="dxa"/>
            <w:gridSpan w:val="3"/>
            <w:tcBorders>
              <w:top w:val="nil"/>
              <w:left w:val="nil"/>
              <w:bottom w:val="nil"/>
              <w:right w:val="nil"/>
            </w:tcBorders>
            <w:shd w:val="clear" w:color="auto" w:fill="auto"/>
            <w:vAlign w:val="bottom"/>
          </w:tcPr>
          <w:p>
            <w:pPr>
              <w:rPr>
                <w:rFonts w:hint="default" w:ascii="Arial" w:hAnsi="Arial" w:cs="Arial"/>
                <w:i w:val="0"/>
                <w:iCs w:val="0"/>
                <w:color w:val="000000"/>
                <w:sz w:val="20"/>
                <w:szCs w:val="20"/>
                <w:u w:val="none"/>
              </w:rPr>
            </w:pPr>
          </w:p>
        </w:tc>
        <w:tc>
          <w:tcPr>
            <w:tcW w:w="870" w:type="dxa"/>
            <w:gridSpan w:val="2"/>
            <w:tcBorders>
              <w:top w:val="nil"/>
              <w:left w:val="nil"/>
              <w:bottom w:val="nil"/>
              <w:right w:val="nil"/>
            </w:tcBorders>
            <w:shd w:val="clear" w:color="auto" w:fill="auto"/>
            <w:vAlign w:val="bottom"/>
          </w:tcPr>
          <w:p>
            <w:pPr>
              <w:rPr>
                <w:rFonts w:hint="default" w:ascii="Arial" w:hAnsi="Arial" w:cs="Arial"/>
                <w:i w:val="0"/>
                <w:iCs w:val="0"/>
                <w:color w:val="000000"/>
                <w:sz w:val="20"/>
                <w:szCs w:val="20"/>
                <w:u w:val="none"/>
              </w:rPr>
            </w:pPr>
          </w:p>
        </w:tc>
        <w:tc>
          <w:tcPr>
            <w:tcW w:w="735" w:type="dxa"/>
            <w:gridSpan w:val="3"/>
            <w:tcBorders>
              <w:top w:val="nil"/>
              <w:left w:val="nil"/>
              <w:bottom w:val="nil"/>
              <w:right w:val="nil"/>
            </w:tcBorders>
            <w:shd w:val="clear" w:color="auto" w:fill="auto"/>
            <w:vAlign w:val="bottom"/>
          </w:tcPr>
          <w:p>
            <w:pPr>
              <w:rPr>
                <w:rFonts w:hint="default" w:ascii="Arial" w:hAnsi="Arial" w:cs="Arial"/>
                <w:i w:val="0"/>
                <w:iCs w:val="0"/>
                <w:color w:val="000000"/>
                <w:sz w:val="20"/>
                <w:szCs w:val="20"/>
                <w:u w:val="none"/>
              </w:rPr>
            </w:pPr>
          </w:p>
        </w:tc>
        <w:tc>
          <w:tcPr>
            <w:tcW w:w="472" w:type="dxa"/>
            <w:tcBorders>
              <w:top w:val="nil"/>
              <w:left w:val="nil"/>
              <w:bottom w:val="nil"/>
              <w:right w:val="nil"/>
            </w:tcBorders>
            <w:shd w:val="clear" w:color="auto" w:fill="auto"/>
            <w:vAlign w:val="bottom"/>
          </w:tcPr>
          <w:p>
            <w:pPr>
              <w:rPr>
                <w:rFonts w:hint="default" w:ascii="Arial" w:hAnsi="Arial" w:cs="Arial"/>
                <w:i w:val="0"/>
                <w:iCs w:val="0"/>
                <w:color w:val="000000"/>
                <w:sz w:val="20"/>
                <w:szCs w:val="20"/>
                <w:u w:val="none"/>
              </w:rPr>
            </w:pPr>
          </w:p>
        </w:tc>
        <w:tc>
          <w:tcPr>
            <w:tcW w:w="1553" w:type="dxa"/>
            <w:gridSpan w:val="4"/>
            <w:tcBorders>
              <w:top w:val="nil"/>
              <w:left w:val="nil"/>
              <w:bottom w:val="nil"/>
              <w:right w:val="nil"/>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96" w:type="dxa"/>
          <w:trHeight w:val="550" w:hRule="atLeast"/>
          <w:jc w:val="center"/>
        </w:trPr>
        <w:tc>
          <w:tcPr>
            <w:tcW w:w="1846" w:type="dxa"/>
            <w:gridSpan w:val="4"/>
            <w:vMerge w:val="restart"/>
            <w:tcBorders>
              <w:top w:val="single" w:color="000000" w:sz="4" w:space="0"/>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科目代码</w:t>
            </w:r>
          </w:p>
        </w:tc>
        <w:tc>
          <w:tcPr>
            <w:tcW w:w="2670" w:type="dxa"/>
            <w:gridSpan w:val="3"/>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科目名称</w:t>
            </w:r>
          </w:p>
        </w:tc>
        <w:tc>
          <w:tcPr>
            <w:tcW w:w="2280" w:type="dxa"/>
            <w:gridSpan w:val="6"/>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年初结转和结余</w:t>
            </w:r>
          </w:p>
        </w:tc>
        <w:tc>
          <w:tcPr>
            <w:tcW w:w="2760" w:type="dxa"/>
            <w:gridSpan w:val="8"/>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本年收入</w:t>
            </w:r>
          </w:p>
        </w:tc>
        <w:tc>
          <w:tcPr>
            <w:tcW w:w="2790" w:type="dxa"/>
            <w:gridSpan w:val="8"/>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本年支出</w:t>
            </w:r>
          </w:p>
        </w:tc>
        <w:tc>
          <w:tcPr>
            <w:tcW w:w="2940" w:type="dxa"/>
            <w:gridSpan w:val="9"/>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年末结转和结余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96" w:type="dxa"/>
          <w:trHeight w:val="620" w:hRule="atLeast"/>
          <w:jc w:val="center"/>
        </w:trPr>
        <w:tc>
          <w:tcPr>
            <w:tcW w:w="1846" w:type="dxa"/>
            <w:gridSpan w:val="4"/>
            <w:vMerge w:val="continue"/>
            <w:tcBorders>
              <w:top w:val="single" w:color="000000" w:sz="4" w:space="0"/>
              <w:left w:val="single" w:color="000000" w:sz="4" w:space="0"/>
              <w:bottom w:val="single" w:color="000000" w:sz="4" w:space="0"/>
              <w:right w:val="single" w:color="000000" w:sz="4" w:space="0"/>
            </w:tcBorders>
            <w:shd w:val="clear" w:color="FFFFFF" w:fill="C0C0C0"/>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2670" w:type="dxa"/>
            <w:gridSpan w:val="3"/>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765" w:type="dxa"/>
            <w:gridSpan w:val="2"/>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合计</w:t>
            </w:r>
          </w:p>
        </w:tc>
        <w:tc>
          <w:tcPr>
            <w:tcW w:w="795" w:type="dxa"/>
            <w:gridSpan w:val="2"/>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基本支出结转</w:t>
            </w:r>
          </w:p>
        </w:tc>
        <w:tc>
          <w:tcPr>
            <w:tcW w:w="720" w:type="dxa"/>
            <w:gridSpan w:val="2"/>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项目支出结转和结余</w:t>
            </w:r>
          </w:p>
        </w:tc>
        <w:tc>
          <w:tcPr>
            <w:tcW w:w="915" w:type="dxa"/>
            <w:gridSpan w:val="2"/>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合计</w:t>
            </w:r>
          </w:p>
        </w:tc>
        <w:tc>
          <w:tcPr>
            <w:tcW w:w="900" w:type="dxa"/>
            <w:gridSpan w:val="2"/>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基本支出</w:t>
            </w:r>
          </w:p>
        </w:tc>
        <w:tc>
          <w:tcPr>
            <w:tcW w:w="945" w:type="dxa"/>
            <w:gridSpan w:val="4"/>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项目支出</w:t>
            </w:r>
          </w:p>
        </w:tc>
        <w:tc>
          <w:tcPr>
            <w:tcW w:w="975" w:type="dxa"/>
            <w:gridSpan w:val="3"/>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合计</w:t>
            </w:r>
          </w:p>
        </w:tc>
        <w:tc>
          <w:tcPr>
            <w:tcW w:w="870" w:type="dxa"/>
            <w:gridSpan w:val="3"/>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基本支出</w:t>
            </w:r>
          </w:p>
        </w:tc>
        <w:tc>
          <w:tcPr>
            <w:tcW w:w="945" w:type="dxa"/>
            <w:gridSpan w:val="2"/>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项目支出</w:t>
            </w:r>
          </w:p>
        </w:tc>
        <w:tc>
          <w:tcPr>
            <w:tcW w:w="780" w:type="dxa"/>
            <w:gridSpan w:val="3"/>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合计</w:t>
            </w:r>
          </w:p>
        </w:tc>
        <w:tc>
          <w:tcPr>
            <w:tcW w:w="765" w:type="dxa"/>
            <w:gridSpan w:val="3"/>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基本支出结转</w:t>
            </w:r>
          </w:p>
        </w:tc>
        <w:tc>
          <w:tcPr>
            <w:tcW w:w="1395" w:type="dxa"/>
            <w:gridSpan w:val="3"/>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项目支出结转和结余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96" w:type="dxa"/>
          <w:trHeight w:val="277" w:hRule="atLeast"/>
          <w:jc w:val="center"/>
        </w:trPr>
        <w:tc>
          <w:tcPr>
            <w:tcW w:w="1846" w:type="dxa"/>
            <w:gridSpan w:val="4"/>
            <w:vMerge w:val="continue"/>
            <w:tcBorders>
              <w:top w:val="single" w:color="000000" w:sz="4" w:space="0"/>
              <w:left w:val="single" w:color="000000" w:sz="4" w:space="0"/>
              <w:bottom w:val="single" w:color="000000" w:sz="4" w:space="0"/>
              <w:right w:val="single" w:color="000000" w:sz="4" w:space="0"/>
            </w:tcBorders>
            <w:shd w:val="clear" w:color="FFFFFF" w:fill="C0C0C0"/>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2670" w:type="dxa"/>
            <w:gridSpan w:val="3"/>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765" w:type="dxa"/>
            <w:gridSpan w:val="2"/>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795" w:type="dxa"/>
            <w:gridSpan w:val="2"/>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720" w:type="dxa"/>
            <w:gridSpan w:val="2"/>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915" w:type="dxa"/>
            <w:gridSpan w:val="2"/>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900" w:type="dxa"/>
            <w:gridSpan w:val="2"/>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945" w:type="dxa"/>
            <w:gridSpan w:val="4"/>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975" w:type="dxa"/>
            <w:gridSpan w:val="3"/>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870" w:type="dxa"/>
            <w:gridSpan w:val="3"/>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945" w:type="dxa"/>
            <w:gridSpan w:val="2"/>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780" w:type="dxa"/>
            <w:gridSpan w:val="3"/>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765" w:type="dxa"/>
            <w:gridSpan w:val="3"/>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712" w:type="dxa"/>
            <w:gridSpan w:val="2"/>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项目支出结转</w:t>
            </w:r>
          </w:p>
        </w:tc>
        <w:tc>
          <w:tcPr>
            <w:tcW w:w="683"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项目支出结余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96" w:type="dxa"/>
          <w:trHeight w:val="360" w:hRule="atLeast"/>
          <w:jc w:val="center"/>
        </w:trPr>
        <w:tc>
          <w:tcPr>
            <w:tcW w:w="1846" w:type="dxa"/>
            <w:gridSpan w:val="4"/>
            <w:vMerge w:val="continue"/>
            <w:tcBorders>
              <w:top w:val="single" w:color="000000" w:sz="4" w:space="0"/>
              <w:left w:val="single" w:color="000000" w:sz="4" w:space="0"/>
              <w:bottom w:val="single" w:color="000000" w:sz="4" w:space="0"/>
              <w:right w:val="single" w:color="000000" w:sz="4" w:space="0"/>
            </w:tcBorders>
            <w:shd w:val="clear" w:color="FFFFFF" w:fill="C0C0C0"/>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2670" w:type="dxa"/>
            <w:gridSpan w:val="3"/>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765" w:type="dxa"/>
            <w:gridSpan w:val="2"/>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795" w:type="dxa"/>
            <w:gridSpan w:val="2"/>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720" w:type="dxa"/>
            <w:gridSpan w:val="2"/>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915" w:type="dxa"/>
            <w:gridSpan w:val="2"/>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900" w:type="dxa"/>
            <w:gridSpan w:val="2"/>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945" w:type="dxa"/>
            <w:gridSpan w:val="4"/>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975" w:type="dxa"/>
            <w:gridSpan w:val="3"/>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870" w:type="dxa"/>
            <w:gridSpan w:val="3"/>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945" w:type="dxa"/>
            <w:gridSpan w:val="2"/>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780" w:type="dxa"/>
            <w:gridSpan w:val="3"/>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765" w:type="dxa"/>
            <w:gridSpan w:val="3"/>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712" w:type="dxa"/>
            <w:gridSpan w:val="2"/>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683"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Theme="minorEastAsia" w:hAnsiTheme="minorEastAsia" w:eastAsiaTheme="minorEastAsia" w:cstheme="minorEastAsia"/>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96" w:type="dxa"/>
          <w:trHeight w:val="308" w:hRule="atLeast"/>
          <w:jc w:val="center"/>
        </w:trPr>
        <w:tc>
          <w:tcPr>
            <w:tcW w:w="661" w:type="dxa"/>
            <w:gridSpan w:val="2"/>
            <w:vMerge w:val="restart"/>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类</w:t>
            </w:r>
          </w:p>
        </w:tc>
        <w:tc>
          <w:tcPr>
            <w:tcW w:w="630"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款</w:t>
            </w:r>
          </w:p>
        </w:tc>
        <w:tc>
          <w:tcPr>
            <w:tcW w:w="555"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项</w:t>
            </w:r>
          </w:p>
        </w:tc>
        <w:tc>
          <w:tcPr>
            <w:tcW w:w="2670" w:type="dxa"/>
            <w:gridSpan w:val="3"/>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栏次</w:t>
            </w:r>
          </w:p>
        </w:tc>
        <w:tc>
          <w:tcPr>
            <w:tcW w:w="765" w:type="dxa"/>
            <w:gridSpan w:val="2"/>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w:t>
            </w:r>
          </w:p>
        </w:tc>
        <w:tc>
          <w:tcPr>
            <w:tcW w:w="795" w:type="dxa"/>
            <w:gridSpan w:val="2"/>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c>
          <w:tcPr>
            <w:tcW w:w="720" w:type="dxa"/>
            <w:gridSpan w:val="2"/>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w:t>
            </w:r>
          </w:p>
        </w:tc>
        <w:tc>
          <w:tcPr>
            <w:tcW w:w="915" w:type="dxa"/>
            <w:gridSpan w:val="2"/>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w:t>
            </w:r>
          </w:p>
        </w:tc>
        <w:tc>
          <w:tcPr>
            <w:tcW w:w="900" w:type="dxa"/>
            <w:gridSpan w:val="2"/>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w:t>
            </w:r>
          </w:p>
        </w:tc>
        <w:tc>
          <w:tcPr>
            <w:tcW w:w="945" w:type="dxa"/>
            <w:gridSpan w:val="4"/>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6</w:t>
            </w:r>
          </w:p>
        </w:tc>
        <w:tc>
          <w:tcPr>
            <w:tcW w:w="975" w:type="dxa"/>
            <w:gridSpan w:val="3"/>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7</w:t>
            </w:r>
          </w:p>
        </w:tc>
        <w:tc>
          <w:tcPr>
            <w:tcW w:w="870" w:type="dxa"/>
            <w:gridSpan w:val="3"/>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8</w:t>
            </w:r>
          </w:p>
        </w:tc>
        <w:tc>
          <w:tcPr>
            <w:tcW w:w="945" w:type="dxa"/>
            <w:gridSpan w:val="2"/>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9</w:t>
            </w:r>
          </w:p>
        </w:tc>
        <w:tc>
          <w:tcPr>
            <w:tcW w:w="780" w:type="dxa"/>
            <w:gridSpan w:val="3"/>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10</w:t>
            </w:r>
          </w:p>
        </w:tc>
        <w:tc>
          <w:tcPr>
            <w:tcW w:w="765" w:type="dxa"/>
            <w:gridSpan w:val="3"/>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11</w:t>
            </w:r>
          </w:p>
        </w:tc>
        <w:tc>
          <w:tcPr>
            <w:tcW w:w="712" w:type="dxa"/>
            <w:gridSpan w:val="2"/>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12</w:t>
            </w:r>
          </w:p>
        </w:tc>
        <w:tc>
          <w:tcPr>
            <w:tcW w:w="683"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96" w:type="dxa"/>
          <w:trHeight w:val="308" w:hRule="atLeast"/>
          <w:jc w:val="center"/>
        </w:trPr>
        <w:tc>
          <w:tcPr>
            <w:tcW w:w="661" w:type="dxa"/>
            <w:gridSpan w:val="2"/>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630"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555"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2670" w:type="dxa"/>
            <w:gridSpan w:val="3"/>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合计</w:t>
            </w:r>
          </w:p>
        </w:tc>
        <w:tc>
          <w:tcPr>
            <w:tcW w:w="765"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0.00</w:t>
            </w:r>
          </w:p>
        </w:tc>
        <w:tc>
          <w:tcPr>
            <w:tcW w:w="795"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0.00</w:t>
            </w:r>
          </w:p>
        </w:tc>
        <w:tc>
          <w:tcPr>
            <w:tcW w:w="720"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0.00</w:t>
            </w:r>
          </w:p>
        </w:tc>
        <w:tc>
          <w:tcPr>
            <w:tcW w:w="915"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954.87</w:t>
            </w:r>
          </w:p>
        </w:tc>
        <w:tc>
          <w:tcPr>
            <w:tcW w:w="900"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463.93</w:t>
            </w:r>
          </w:p>
        </w:tc>
        <w:tc>
          <w:tcPr>
            <w:tcW w:w="945" w:type="dxa"/>
            <w:gridSpan w:val="4"/>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490.94</w:t>
            </w:r>
          </w:p>
        </w:tc>
        <w:tc>
          <w:tcPr>
            <w:tcW w:w="975"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954.87</w:t>
            </w:r>
          </w:p>
        </w:tc>
        <w:tc>
          <w:tcPr>
            <w:tcW w:w="870"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463.93</w:t>
            </w:r>
          </w:p>
        </w:tc>
        <w:tc>
          <w:tcPr>
            <w:tcW w:w="945"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490.94</w:t>
            </w:r>
          </w:p>
        </w:tc>
        <w:tc>
          <w:tcPr>
            <w:tcW w:w="780"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0.00</w:t>
            </w:r>
          </w:p>
        </w:tc>
        <w:tc>
          <w:tcPr>
            <w:tcW w:w="765"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0.00</w:t>
            </w:r>
          </w:p>
        </w:tc>
        <w:tc>
          <w:tcPr>
            <w:tcW w:w="712"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0.00</w:t>
            </w:r>
          </w:p>
        </w:tc>
        <w:tc>
          <w:tcPr>
            <w:tcW w:w="68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b/>
                <w:bCs/>
                <w:i w:val="0"/>
                <w:iCs w:val="0"/>
                <w:color w:val="00000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96" w:type="dxa"/>
          <w:trHeight w:val="308" w:hRule="atLeast"/>
          <w:jc w:val="center"/>
        </w:trPr>
        <w:tc>
          <w:tcPr>
            <w:tcW w:w="1846" w:type="dxa"/>
            <w:gridSpan w:val="4"/>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201</w:t>
            </w:r>
          </w:p>
        </w:tc>
        <w:tc>
          <w:tcPr>
            <w:tcW w:w="2670" w:type="dxa"/>
            <w:gridSpan w:val="3"/>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一般公共服务支出</w:t>
            </w:r>
          </w:p>
        </w:tc>
        <w:tc>
          <w:tcPr>
            <w:tcW w:w="765"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95"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20"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915"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842.04</w:t>
            </w:r>
          </w:p>
        </w:tc>
        <w:tc>
          <w:tcPr>
            <w:tcW w:w="900"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351.11</w:t>
            </w:r>
          </w:p>
        </w:tc>
        <w:tc>
          <w:tcPr>
            <w:tcW w:w="945" w:type="dxa"/>
            <w:gridSpan w:val="4"/>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490.94</w:t>
            </w:r>
          </w:p>
        </w:tc>
        <w:tc>
          <w:tcPr>
            <w:tcW w:w="975"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842.04</w:t>
            </w:r>
          </w:p>
        </w:tc>
        <w:tc>
          <w:tcPr>
            <w:tcW w:w="870"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351.11</w:t>
            </w:r>
          </w:p>
        </w:tc>
        <w:tc>
          <w:tcPr>
            <w:tcW w:w="945"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490.94</w:t>
            </w:r>
          </w:p>
        </w:tc>
        <w:tc>
          <w:tcPr>
            <w:tcW w:w="780"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65"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12"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68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96" w:type="dxa"/>
          <w:trHeight w:val="308" w:hRule="atLeast"/>
          <w:jc w:val="center"/>
        </w:trPr>
        <w:tc>
          <w:tcPr>
            <w:tcW w:w="1846" w:type="dxa"/>
            <w:gridSpan w:val="4"/>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20123</w:t>
            </w:r>
          </w:p>
        </w:tc>
        <w:tc>
          <w:tcPr>
            <w:tcW w:w="2670" w:type="dxa"/>
            <w:gridSpan w:val="3"/>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民族事务</w:t>
            </w:r>
          </w:p>
        </w:tc>
        <w:tc>
          <w:tcPr>
            <w:tcW w:w="765"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95"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20"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915"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839.34</w:t>
            </w:r>
          </w:p>
        </w:tc>
        <w:tc>
          <w:tcPr>
            <w:tcW w:w="900"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351.11</w:t>
            </w:r>
          </w:p>
        </w:tc>
        <w:tc>
          <w:tcPr>
            <w:tcW w:w="945" w:type="dxa"/>
            <w:gridSpan w:val="4"/>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488.24</w:t>
            </w:r>
          </w:p>
        </w:tc>
        <w:tc>
          <w:tcPr>
            <w:tcW w:w="975"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839.34</w:t>
            </w:r>
          </w:p>
        </w:tc>
        <w:tc>
          <w:tcPr>
            <w:tcW w:w="870"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351.11</w:t>
            </w:r>
          </w:p>
        </w:tc>
        <w:tc>
          <w:tcPr>
            <w:tcW w:w="945"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488.24</w:t>
            </w:r>
          </w:p>
        </w:tc>
        <w:tc>
          <w:tcPr>
            <w:tcW w:w="780"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65"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12"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68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96" w:type="dxa"/>
          <w:trHeight w:val="308" w:hRule="atLeast"/>
          <w:jc w:val="center"/>
        </w:trPr>
        <w:tc>
          <w:tcPr>
            <w:tcW w:w="1846" w:type="dxa"/>
            <w:gridSpan w:val="4"/>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2012301</w:t>
            </w:r>
          </w:p>
        </w:tc>
        <w:tc>
          <w:tcPr>
            <w:tcW w:w="2670" w:type="dxa"/>
            <w:gridSpan w:val="3"/>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行政运行</w:t>
            </w:r>
          </w:p>
        </w:tc>
        <w:tc>
          <w:tcPr>
            <w:tcW w:w="765"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95"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20"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915"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350.28</w:t>
            </w:r>
          </w:p>
        </w:tc>
        <w:tc>
          <w:tcPr>
            <w:tcW w:w="900"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350.28</w:t>
            </w:r>
          </w:p>
        </w:tc>
        <w:tc>
          <w:tcPr>
            <w:tcW w:w="945" w:type="dxa"/>
            <w:gridSpan w:val="4"/>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975"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350.28</w:t>
            </w:r>
          </w:p>
        </w:tc>
        <w:tc>
          <w:tcPr>
            <w:tcW w:w="870"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350.28</w:t>
            </w:r>
          </w:p>
        </w:tc>
        <w:tc>
          <w:tcPr>
            <w:tcW w:w="945"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80"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65"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12"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68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96" w:type="dxa"/>
          <w:trHeight w:val="308" w:hRule="atLeast"/>
          <w:jc w:val="center"/>
        </w:trPr>
        <w:tc>
          <w:tcPr>
            <w:tcW w:w="1846" w:type="dxa"/>
            <w:gridSpan w:val="4"/>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2012302</w:t>
            </w:r>
          </w:p>
        </w:tc>
        <w:tc>
          <w:tcPr>
            <w:tcW w:w="2670" w:type="dxa"/>
            <w:gridSpan w:val="3"/>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一般行政管理事务</w:t>
            </w:r>
          </w:p>
        </w:tc>
        <w:tc>
          <w:tcPr>
            <w:tcW w:w="765"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95"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20"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915"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59.24</w:t>
            </w:r>
          </w:p>
        </w:tc>
        <w:tc>
          <w:tcPr>
            <w:tcW w:w="900"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945" w:type="dxa"/>
            <w:gridSpan w:val="4"/>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59.24</w:t>
            </w:r>
          </w:p>
        </w:tc>
        <w:tc>
          <w:tcPr>
            <w:tcW w:w="975"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59.24</w:t>
            </w:r>
          </w:p>
        </w:tc>
        <w:tc>
          <w:tcPr>
            <w:tcW w:w="870"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945"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59.24</w:t>
            </w:r>
          </w:p>
        </w:tc>
        <w:tc>
          <w:tcPr>
            <w:tcW w:w="780"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65"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12"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68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96" w:type="dxa"/>
          <w:trHeight w:val="308" w:hRule="atLeast"/>
          <w:jc w:val="center"/>
        </w:trPr>
        <w:tc>
          <w:tcPr>
            <w:tcW w:w="1846" w:type="dxa"/>
            <w:gridSpan w:val="4"/>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2012304</w:t>
            </w:r>
          </w:p>
        </w:tc>
        <w:tc>
          <w:tcPr>
            <w:tcW w:w="2670" w:type="dxa"/>
            <w:gridSpan w:val="3"/>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民族工作专项</w:t>
            </w:r>
          </w:p>
        </w:tc>
        <w:tc>
          <w:tcPr>
            <w:tcW w:w="765"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95"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20"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915"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48.00</w:t>
            </w:r>
          </w:p>
        </w:tc>
        <w:tc>
          <w:tcPr>
            <w:tcW w:w="900"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945" w:type="dxa"/>
            <w:gridSpan w:val="4"/>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48.00</w:t>
            </w:r>
          </w:p>
        </w:tc>
        <w:tc>
          <w:tcPr>
            <w:tcW w:w="975"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48.00</w:t>
            </w:r>
          </w:p>
        </w:tc>
        <w:tc>
          <w:tcPr>
            <w:tcW w:w="870"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945"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48.00</w:t>
            </w:r>
          </w:p>
        </w:tc>
        <w:tc>
          <w:tcPr>
            <w:tcW w:w="780"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65"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12"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68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96" w:type="dxa"/>
          <w:trHeight w:val="308" w:hRule="atLeast"/>
          <w:jc w:val="center"/>
        </w:trPr>
        <w:tc>
          <w:tcPr>
            <w:tcW w:w="1846" w:type="dxa"/>
            <w:gridSpan w:val="4"/>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2012399</w:t>
            </w:r>
          </w:p>
        </w:tc>
        <w:tc>
          <w:tcPr>
            <w:tcW w:w="2670" w:type="dxa"/>
            <w:gridSpan w:val="3"/>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其他民族事务支出</w:t>
            </w:r>
          </w:p>
        </w:tc>
        <w:tc>
          <w:tcPr>
            <w:tcW w:w="765"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95"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20"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915"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381.82</w:t>
            </w:r>
          </w:p>
        </w:tc>
        <w:tc>
          <w:tcPr>
            <w:tcW w:w="900"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0.83</w:t>
            </w:r>
          </w:p>
        </w:tc>
        <w:tc>
          <w:tcPr>
            <w:tcW w:w="945" w:type="dxa"/>
            <w:gridSpan w:val="4"/>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380.99</w:t>
            </w:r>
          </w:p>
        </w:tc>
        <w:tc>
          <w:tcPr>
            <w:tcW w:w="975"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381.82</w:t>
            </w:r>
          </w:p>
        </w:tc>
        <w:tc>
          <w:tcPr>
            <w:tcW w:w="870"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0.83</w:t>
            </w:r>
          </w:p>
        </w:tc>
        <w:tc>
          <w:tcPr>
            <w:tcW w:w="945"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380.99</w:t>
            </w:r>
          </w:p>
        </w:tc>
        <w:tc>
          <w:tcPr>
            <w:tcW w:w="780"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65"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12"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68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96" w:type="dxa"/>
          <w:trHeight w:val="308" w:hRule="atLeast"/>
          <w:jc w:val="center"/>
        </w:trPr>
        <w:tc>
          <w:tcPr>
            <w:tcW w:w="1846" w:type="dxa"/>
            <w:gridSpan w:val="4"/>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20134</w:t>
            </w:r>
          </w:p>
        </w:tc>
        <w:tc>
          <w:tcPr>
            <w:tcW w:w="2670" w:type="dxa"/>
            <w:gridSpan w:val="3"/>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统战事务</w:t>
            </w:r>
          </w:p>
        </w:tc>
        <w:tc>
          <w:tcPr>
            <w:tcW w:w="765"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95"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20"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915"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2.70</w:t>
            </w:r>
          </w:p>
        </w:tc>
        <w:tc>
          <w:tcPr>
            <w:tcW w:w="900"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945" w:type="dxa"/>
            <w:gridSpan w:val="4"/>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2.70</w:t>
            </w:r>
          </w:p>
        </w:tc>
        <w:tc>
          <w:tcPr>
            <w:tcW w:w="975"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2.70</w:t>
            </w:r>
          </w:p>
        </w:tc>
        <w:tc>
          <w:tcPr>
            <w:tcW w:w="870"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945"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2.70</w:t>
            </w:r>
          </w:p>
        </w:tc>
        <w:tc>
          <w:tcPr>
            <w:tcW w:w="780"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65"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12"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68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96" w:type="dxa"/>
          <w:trHeight w:val="308" w:hRule="atLeast"/>
          <w:jc w:val="center"/>
        </w:trPr>
        <w:tc>
          <w:tcPr>
            <w:tcW w:w="1846" w:type="dxa"/>
            <w:gridSpan w:val="4"/>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2013404</w:t>
            </w:r>
          </w:p>
        </w:tc>
        <w:tc>
          <w:tcPr>
            <w:tcW w:w="2670" w:type="dxa"/>
            <w:gridSpan w:val="3"/>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宗教事务</w:t>
            </w:r>
          </w:p>
        </w:tc>
        <w:tc>
          <w:tcPr>
            <w:tcW w:w="765"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95"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20"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915"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2.70</w:t>
            </w:r>
          </w:p>
        </w:tc>
        <w:tc>
          <w:tcPr>
            <w:tcW w:w="900"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945" w:type="dxa"/>
            <w:gridSpan w:val="4"/>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2.70</w:t>
            </w:r>
          </w:p>
        </w:tc>
        <w:tc>
          <w:tcPr>
            <w:tcW w:w="975"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2.70</w:t>
            </w:r>
          </w:p>
        </w:tc>
        <w:tc>
          <w:tcPr>
            <w:tcW w:w="870"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945"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2.70</w:t>
            </w:r>
          </w:p>
        </w:tc>
        <w:tc>
          <w:tcPr>
            <w:tcW w:w="780"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65"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12"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68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96" w:type="dxa"/>
          <w:trHeight w:val="308" w:hRule="atLeast"/>
          <w:jc w:val="center"/>
        </w:trPr>
        <w:tc>
          <w:tcPr>
            <w:tcW w:w="1846" w:type="dxa"/>
            <w:gridSpan w:val="4"/>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208</w:t>
            </w:r>
          </w:p>
        </w:tc>
        <w:tc>
          <w:tcPr>
            <w:tcW w:w="2670" w:type="dxa"/>
            <w:gridSpan w:val="3"/>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社会保障和就业支出</w:t>
            </w:r>
          </w:p>
        </w:tc>
        <w:tc>
          <w:tcPr>
            <w:tcW w:w="765"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95"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20"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915"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66.11</w:t>
            </w:r>
          </w:p>
        </w:tc>
        <w:tc>
          <w:tcPr>
            <w:tcW w:w="900"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66.11</w:t>
            </w:r>
          </w:p>
        </w:tc>
        <w:tc>
          <w:tcPr>
            <w:tcW w:w="945" w:type="dxa"/>
            <w:gridSpan w:val="4"/>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975"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66.11</w:t>
            </w:r>
          </w:p>
        </w:tc>
        <w:tc>
          <w:tcPr>
            <w:tcW w:w="870"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66.11</w:t>
            </w:r>
          </w:p>
        </w:tc>
        <w:tc>
          <w:tcPr>
            <w:tcW w:w="945"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80"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65"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12"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68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96" w:type="dxa"/>
          <w:trHeight w:val="308" w:hRule="atLeast"/>
          <w:jc w:val="center"/>
        </w:trPr>
        <w:tc>
          <w:tcPr>
            <w:tcW w:w="1846" w:type="dxa"/>
            <w:gridSpan w:val="4"/>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20805</w:t>
            </w:r>
          </w:p>
        </w:tc>
        <w:tc>
          <w:tcPr>
            <w:tcW w:w="2670" w:type="dxa"/>
            <w:gridSpan w:val="3"/>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行政事业单位养老支出</w:t>
            </w:r>
          </w:p>
        </w:tc>
        <w:tc>
          <w:tcPr>
            <w:tcW w:w="765"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95"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20"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915"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66.11</w:t>
            </w:r>
          </w:p>
        </w:tc>
        <w:tc>
          <w:tcPr>
            <w:tcW w:w="900"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66.11</w:t>
            </w:r>
          </w:p>
        </w:tc>
        <w:tc>
          <w:tcPr>
            <w:tcW w:w="945" w:type="dxa"/>
            <w:gridSpan w:val="4"/>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975"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66.11</w:t>
            </w:r>
          </w:p>
        </w:tc>
        <w:tc>
          <w:tcPr>
            <w:tcW w:w="870"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66.11</w:t>
            </w:r>
          </w:p>
        </w:tc>
        <w:tc>
          <w:tcPr>
            <w:tcW w:w="945"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80"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65"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12"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68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96" w:type="dxa"/>
          <w:trHeight w:val="308" w:hRule="atLeast"/>
          <w:jc w:val="center"/>
        </w:trPr>
        <w:tc>
          <w:tcPr>
            <w:tcW w:w="1846" w:type="dxa"/>
            <w:gridSpan w:val="4"/>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2080501</w:t>
            </w:r>
          </w:p>
        </w:tc>
        <w:tc>
          <w:tcPr>
            <w:tcW w:w="2670" w:type="dxa"/>
            <w:gridSpan w:val="3"/>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行政单位离退休</w:t>
            </w:r>
          </w:p>
        </w:tc>
        <w:tc>
          <w:tcPr>
            <w:tcW w:w="765"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95"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20"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915"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26.14</w:t>
            </w:r>
          </w:p>
        </w:tc>
        <w:tc>
          <w:tcPr>
            <w:tcW w:w="900"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26.14</w:t>
            </w:r>
          </w:p>
        </w:tc>
        <w:tc>
          <w:tcPr>
            <w:tcW w:w="945" w:type="dxa"/>
            <w:gridSpan w:val="4"/>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975"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26.14</w:t>
            </w:r>
          </w:p>
        </w:tc>
        <w:tc>
          <w:tcPr>
            <w:tcW w:w="870"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26.14</w:t>
            </w:r>
          </w:p>
        </w:tc>
        <w:tc>
          <w:tcPr>
            <w:tcW w:w="945"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80"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65"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12"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68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96" w:type="dxa"/>
          <w:trHeight w:val="308" w:hRule="atLeast"/>
          <w:jc w:val="center"/>
        </w:trPr>
        <w:tc>
          <w:tcPr>
            <w:tcW w:w="1846" w:type="dxa"/>
            <w:gridSpan w:val="4"/>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2080505</w:t>
            </w:r>
          </w:p>
        </w:tc>
        <w:tc>
          <w:tcPr>
            <w:tcW w:w="2670" w:type="dxa"/>
            <w:gridSpan w:val="3"/>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机关事业单位基本养老保险缴费支出</w:t>
            </w:r>
          </w:p>
        </w:tc>
        <w:tc>
          <w:tcPr>
            <w:tcW w:w="765"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95"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20"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915"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37.45</w:t>
            </w:r>
          </w:p>
        </w:tc>
        <w:tc>
          <w:tcPr>
            <w:tcW w:w="900"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37.45</w:t>
            </w:r>
          </w:p>
        </w:tc>
        <w:tc>
          <w:tcPr>
            <w:tcW w:w="945" w:type="dxa"/>
            <w:gridSpan w:val="4"/>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975"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37.45</w:t>
            </w:r>
          </w:p>
        </w:tc>
        <w:tc>
          <w:tcPr>
            <w:tcW w:w="870"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37.45</w:t>
            </w:r>
          </w:p>
        </w:tc>
        <w:tc>
          <w:tcPr>
            <w:tcW w:w="945"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80"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65"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12"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68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96" w:type="dxa"/>
          <w:trHeight w:val="308" w:hRule="atLeast"/>
          <w:jc w:val="center"/>
        </w:trPr>
        <w:tc>
          <w:tcPr>
            <w:tcW w:w="1846" w:type="dxa"/>
            <w:gridSpan w:val="4"/>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2080599</w:t>
            </w:r>
          </w:p>
        </w:tc>
        <w:tc>
          <w:tcPr>
            <w:tcW w:w="2670" w:type="dxa"/>
            <w:gridSpan w:val="3"/>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其他行政事业单位养老支出</w:t>
            </w:r>
          </w:p>
        </w:tc>
        <w:tc>
          <w:tcPr>
            <w:tcW w:w="765"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95"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20"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915"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2.52</w:t>
            </w:r>
          </w:p>
        </w:tc>
        <w:tc>
          <w:tcPr>
            <w:tcW w:w="900"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2.52</w:t>
            </w:r>
          </w:p>
        </w:tc>
        <w:tc>
          <w:tcPr>
            <w:tcW w:w="945" w:type="dxa"/>
            <w:gridSpan w:val="4"/>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975"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2.52</w:t>
            </w:r>
          </w:p>
        </w:tc>
        <w:tc>
          <w:tcPr>
            <w:tcW w:w="870"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2.52</w:t>
            </w:r>
          </w:p>
        </w:tc>
        <w:tc>
          <w:tcPr>
            <w:tcW w:w="945"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80"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65"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12"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68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96" w:type="dxa"/>
          <w:trHeight w:val="308" w:hRule="atLeast"/>
          <w:jc w:val="center"/>
        </w:trPr>
        <w:tc>
          <w:tcPr>
            <w:tcW w:w="1846" w:type="dxa"/>
            <w:gridSpan w:val="4"/>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210</w:t>
            </w:r>
          </w:p>
        </w:tc>
        <w:tc>
          <w:tcPr>
            <w:tcW w:w="2670" w:type="dxa"/>
            <w:gridSpan w:val="3"/>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卫生健康支出</w:t>
            </w:r>
          </w:p>
        </w:tc>
        <w:tc>
          <w:tcPr>
            <w:tcW w:w="765"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95"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20"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915"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15.60</w:t>
            </w:r>
          </w:p>
        </w:tc>
        <w:tc>
          <w:tcPr>
            <w:tcW w:w="900"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15.60</w:t>
            </w:r>
          </w:p>
        </w:tc>
        <w:tc>
          <w:tcPr>
            <w:tcW w:w="945" w:type="dxa"/>
            <w:gridSpan w:val="4"/>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975"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15.60</w:t>
            </w:r>
          </w:p>
        </w:tc>
        <w:tc>
          <w:tcPr>
            <w:tcW w:w="870"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15.60</w:t>
            </w:r>
          </w:p>
        </w:tc>
        <w:tc>
          <w:tcPr>
            <w:tcW w:w="945"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80"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65"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12"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68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96" w:type="dxa"/>
          <w:trHeight w:val="308" w:hRule="atLeast"/>
          <w:jc w:val="center"/>
        </w:trPr>
        <w:tc>
          <w:tcPr>
            <w:tcW w:w="1846" w:type="dxa"/>
            <w:gridSpan w:val="4"/>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21011</w:t>
            </w:r>
          </w:p>
        </w:tc>
        <w:tc>
          <w:tcPr>
            <w:tcW w:w="2670" w:type="dxa"/>
            <w:gridSpan w:val="3"/>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行政事业单位医疗</w:t>
            </w:r>
          </w:p>
        </w:tc>
        <w:tc>
          <w:tcPr>
            <w:tcW w:w="765"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95"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20"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915"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15.60</w:t>
            </w:r>
          </w:p>
        </w:tc>
        <w:tc>
          <w:tcPr>
            <w:tcW w:w="900"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15.60</w:t>
            </w:r>
          </w:p>
        </w:tc>
        <w:tc>
          <w:tcPr>
            <w:tcW w:w="945" w:type="dxa"/>
            <w:gridSpan w:val="4"/>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975"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15.60</w:t>
            </w:r>
          </w:p>
        </w:tc>
        <w:tc>
          <w:tcPr>
            <w:tcW w:w="870"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15.60</w:t>
            </w:r>
          </w:p>
        </w:tc>
        <w:tc>
          <w:tcPr>
            <w:tcW w:w="945"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80"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65"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12"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68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96" w:type="dxa"/>
          <w:trHeight w:val="308" w:hRule="atLeast"/>
          <w:jc w:val="center"/>
        </w:trPr>
        <w:tc>
          <w:tcPr>
            <w:tcW w:w="1846" w:type="dxa"/>
            <w:gridSpan w:val="4"/>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2101101</w:t>
            </w:r>
          </w:p>
        </w:tc>
        <w:tc>
          <w:tcPr>
            <w:tcW w:w="2670" w:type="dxa"/>
            <w:gridSpan w:val="3"/>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行政单位医疗</w:t>
            </w:r>
          </w:p>
        </w:tc>
        <w:tc>
          <w:tcPr>
            <w:tcW w:w="765"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95"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20"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915"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15.60</w:t>
            </w:r>
          </w:p>
        </w:tc>
        <w:tc>
          <w:tcPr>
            <w:tcW w:w="900"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15.60</w:t>
            </w:r>
          </w:p>
        </w:tc>
        <w:tc>
          <w:tcPr>
            <w:tcW w:w="945" w:type="dxa"/>
            <w:gridSpan w:val="4"/>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975"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15.60</w:t>
            </w:r>
          </w:p>
        </w:tc>
        <w:tc>
          <w:tcPr>
            <w:tcW w:w="870"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15.60</w:t>
            </w:r>
          </w:p>
        </w:tc>
        <w:tc>
          <w:tcPr>
            <w:tcW w:w="945"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80"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65"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12"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68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96" w:type="dxa"/>
          <w:trHeight w:val="308" w:hRule="atLeast"/>
          <w:jc w:val="center"/>
        </w:trPr>
        <w:tc>
          <w:tcPr>
            <w:tcW w:w="1846" w:type="dxa"/>
            <w:gridSpan w:val="4"/>
            <w:tcBorders>
              <w:top w:val="nil"/>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221</w:t>
            </w:r>
          </w:p>
        </w:tc>
        <w:tc>
          <w:tcPr>
            <w:tcW w:w="2670" w:type="dxa"/>
            <w:gridSpan w:val="3"/>
            <w:tcBorders>
              <w:top w:val="nil"/>
              <w:left w:val="nil"/>
              <w:bottom w:val="single" w:color="auto"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住房保障支出</w:t>
            </w:r>
          </w:p>
        </w:tc>
        <w:tc>
          <w:tcPr>
            <w:tcW w:w="765" w:type="dxa"/>
            <w:gridSpan w:val="2"/>
            <w:tcBorders>
              <w:top w:val="nil"/>
              <w:left w:val="nil"/>
              <w:bottom w:val="single" w:color="auto"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95" w:type="dxa"/>
            <w:gridSpan w:val="2"/>
            <w:tcBorders>
              <w:top w:val="nil"/>
              <w:left w:val="nil"/>
              <w:bottom w:val="single" w:color="auto"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20" w:type="dxa"/>
            <w:gridSpan w:val="2"/>
            <w:tcBorders>
              <w:top w:val="nil"/>
              <w:left w:val="nil"/>
              <w:bottom w:val="single" w:color="auto"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915" w:type="dxa"/>
            <w:gridSpan w:val="2"/>
            <w:tcBorders>
              <w:top w:val="nil"/>
              <w:left w:val="nil"/>
              <w:bottom w:val="single" w:color="auto"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31.11</w:t>
            </w:r>
          </w:p>
        </w:tc>
        <w:tc>
          <w:tcPr>
            <w:tcW w:w="900" w:type="dxa"/>
            <w:gridSpan w:val="2"/>
            <w:tcBorders>
              <w:top w:val="nil"/>
              <w:left w:val="nil"/>
              <w:bottom w:val="single" w:color="auto"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31.11</w:t>
            </w:r>
          </w:p>
        </w:tc>
        <w:tc>
          <w:tcPr>
            <w:tcW w:w="945" w:type="dxa"/>
            <w:gridSpan w:val="4"/>
            <w:tcBorders>
              <w:top w:val="nil"/>
              <w:left w:val="nil"/>
              <w:bottom w:val="single" w:color="auto"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975" w:type="dxa"/>
            <w:gridSpan w:val="3"/>
            <w:tcBorders>
              <w:top w:val="nil"/>
              <w:left w:val="nil"/>
              <w:bottom w:val="single" w:color="auto"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31.11</w:t>
            </w:r>
          </w:p>
        </w:tc>
        <w:tc>
          <w:tcPr>
            <w:tcW w:w="870" w:type="dxa"/>
            <w:gridSpan w:val="3"/>
            <w:tcBorders>
              <w:top w:val="nil"/>
              <w:left w:val="nil"/>
              <w:bottom w:val="single" w:color="auto"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31.11</w:t>
            </w:r>
          </w:p>
        </w:tc>
        <w:tc>
          <w:tcPr>
            <w:tcW w:w="945" w:type="dxa"/>
            <w:gridSpan w:val="2"/>
            <w:tcBorders>
              <w:top w:val="nil"/>
              <w:left w:val="nil"/>
              <w:bottom w:val="single" w:color="auto"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80" w:type="dxa"/>
            <w:gridSpan w:val="3"/>
            <w:tcBorders>
              <w:top w:val="nil"/>
              <w:left w:val="nil"/>
              <w:bottom w:val="single" w:color="auto"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65" w:type="dxa"/>
            <w:gridSpan w:val="3"/>
            <w:tcBorders>
              <w:top w:val="nil"/>
              <w:left w:val="nil"/>
              <w:bottom w:val="single" w:color="auto"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12" w:type="dxa"/>
            <w:gridSpan w:val="2"/>
            <w:tcBorders>
              <w:top w:val="nil"/>
              <w:left w:val="nil"/>
              <w:bottom w:val="single" w:color="auto"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683" w:type="dxa"/>
            <w:tcBorders>
              <w:top w:val="nil"/>
              <w:left w:val="nil"/>
              <w:bottom w:val="single" w:color="auto"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96" w:type="dxa"/>
          <w:trHeight w:val="308" w:hRule="atLeast"/>
          <w:jc w:val="center"/>
        </w:trPr>
        <w:tc>
          <w:tcPr>
            <w:tcW w:w="1846"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22102</w:t>
            </w:r>
          </w:p>
        </w:tc>
        <w:tc>
          <w:tcPr>
            <w:tcW w:w="267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住房改革支出</w:t>
            </w:r>
          </w:p>
        </w:tc>
        <w:tc>
          <w:tcPr>
            <w:tcW w:w="76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9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2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91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31.11</w:t>
            </w:r>
          </w:p>
        </w:tc>
        <w:tc>
          <w:tcPr>
            <w:tcW w:w="90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31.11</w:t>
            </w:r>
          </w:p>
        </w:tc>
        <w:tc>
          <w:tcPr>
            <w:tcW w:w="945"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97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31.11</w:t>
            </w:r>
          </w:p>
        </w:tc>
        <w:tc>
          <w:tcPr>
            <w:tcW w:w="87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31.11</w:t>
            </w:r>
          </w:p>
        </w:tc>
        <w:tc>
          <w:tcPr>
            <w:tcW w:w="94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8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6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1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68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96" w:type="dxa"/>
          <w:trHeight w:val="308" w:hRule="atLeast"/>
          <w:jc w:val="center"/>
        </w:trPr>
        <w:tc>
          <w:tcPr>
            <w:tcW w:w="1846" w:type="dxa"/>
            <w:gridSpan w:val="4"/>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2210201</w:t>
            </w:r>
          </w:p>
        </w:tc>
        <w:tc>
          <w:tcPr>
            <w:tcW w:w="2670" w:type="dxa"/>
            <w:gridSpan w:val="3"/>
            <w:tcBorders>
              <w:top w:val="single" w:color="auto"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住房公积金</w:t>
            </w:r>
          </w:p>
        </w:tc>
        <w:tc>
          <w:tcPr>
            <w:tcW w:w="765" w:type="dxa"/>
            <w:gridSpan w:val="2"/>
            <w:tcBorders>
              <w:top w:val="single" w:color="auto" w:sz="4" w:space="0"/>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95" w:type="dxa"/>
            <w:gridSpan w:val="2"/>
            <w:tcBorders>
              <w:top w:val="single" w:color="auto" w:sz="4" w:space="0"/>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20" w:type="dxa"/>
            <w:gridSpan w:val="2"/>
            <w:tcBorders>
              <w:top w:val="single" w:color="auto" w:sz="4" w:space="0"/>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915" w:type="dxa"/>
            <w:gridSpan w:val="2"/>
            <w:tcBorders>
              <w:top w:val="single" w:color="auto" w:sz="4" w:space="0"/>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31.11</w:t>
            </w:r>
          </w:p>
        </w:tc>
        <w:tc>
          <w:tcPr>
            <w:tcW w:w="900" w:type="dxa"/>
            <w:gridSpan w:val="2"/>
            <w:tcBorders>
              <w:top w:val="single" w:color="auto" w:sz="4" w:space="0"/>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31.11</w:t>
            </w:r>
          </w:p>
        </w:tc>
        <w:tc>
          <w:tcPr>
            <w:tcW w:w="945" w:type="dxa"/>
            <w:gridSpan w:val="4"/>
            <w:tcBorders>
              <w:top w:val="single" w:color="auto" w:sz="4" w:space="0"/>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975" w:type="dxa"/>
            <w:gridSpan w:val="3"/>
            <w:tcBorders>
              <w:top w:val="single" w:color="auto" w:sz="4" w:space="0"/>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31.11</w:t>
            </w:r>
          </w:p>
        </w:tc>
        <w:tc>
          <w:tcPr>
            <w:tcW w:w="870" w:type="dxa"/>
            <w:gridSpan w:val="3"/>
            <w:tcBorders>
              <w:top w:val="single" w:color="auto" w:sz="4" w:space="0"/>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31.11</w:t>
            </w:r>
          </w:p>
        </w:tc>
        <w:tc>
          <w:tcPr>
            <w:tcW w:w="945" w:type="dxa"/>
            <w:gridSpan w:val="2"/>
            <w:tcBorders>
              <w:top w:val="single" w:color="auto" w:sz="4" w:space="0"/>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80" w:type="dxa"/>
            <w:gridSpan w:val="3"/>
            <w:tcBorders>
              <w:top w:val="single" w:color="auto" w:sz="4" w:space="0"/>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65" w:type="dxa"/>
            <w:gridSpan w:val="3"/>
            <w:tcBorders>
              <w:top w:val="single" w:color="auto" w:sz="4" w:space="0"/>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712" w:type="dxa"/>
            <w:gridSpan w:val="2"/>
            <w:tcBorders>
              <w:top w:val="single" w:color="auto" w:sz="4" w:space="0"/>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c>
          <w:tcPr>
            <w:tcW w:w="683" w:type="dxa"/>
            <w:tcBorders>
              <w:top w:val="single" w:color="auto" w:sz="4" w:space="0"/>
              <w:left w:val="nil"/>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96" w:type="dxa"/>
          <w:trHeight w:val="308" w:hRule="atLeast"/>
          <w:jc w:val="center"/>
        </w:trPr>
        <w:tc>
          <w:tcPr>
            <w:tcW w:w="15286" w:type="dxa"/>
            <w:gridSpan w:val="38"/>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注：1.本表依据《一般公共预算财政拨款收入支出决算表》（财决07表）进行批复。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96" w:type="dxa"/>
          <w:trHeight w:val="308" w:hRule="atLeast"/>
          <w:jc w:val="center"/>
        </w:trPr>
        <w:tc>
          <w:tcPr>
            <w:tcW w:w="15286" w:type="dxa"/>
            <w:gridSpan w:val="38"/>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2.本表批复到项级科目。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96" w:type="dxa"/>
          <w:trHeight w:val="308" w:hRule="atLeast"/>
          <w:jc w:val="center"/>
        </w:trPr>
        <w:tc>
          <w:tcPr>
            <w:tcW w:w="15286" w:type="dxa"/>
            <w:gridSpan w:val="38"/>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    3.本表以“万元”为金额单位（保留两位小数）。</w:t>
            </w:r>
          </w:p>
        </w:tc>
      </w:tr>
    </w:tbl>
    <w:p>
      <w:pPr>
        <w:widowControl/>
        <w:jc w:val="both"/>
        <w:rPr>
          <w:rFonts w:ascii="Times New Roman" w:hAnsi="Times New Roman" w:eastAsia="方正小标宋_GBK" w:cs="Times New Roman"/>
          <w:kern w:val="0"/>
          <w:sz w:val="36"/>
          <w:szCs w:val="36"/>
        </w:rPr>
      </w:pPr>
    </w:p>
    <w:p>
      <w:pPr>
        <w:widowControl/>
        <w:jc w:val="center"/>
        <w:rPr>
          <w:rFonts w:ascii="Times New Roman" w:hAnsi="Times New Roman" w:eastAsia="方正小标宋_GBK" w:cs="Times New Roman"/>
          <w:kern w:val="0"/>
          <w:sz w:val="36"/>
          <w:szCs w:val="36"/>
        </w:rPr>
      </w:pPr>
    </w:p>
    <w:p>
      <w:pPr>
        <w:widowControl/>
        <w:jc w:val="center"/>
        <w:rPr>
          <w:rFonts w:ascii="Times New Roman" w:hAnsi="Times New Roman" w:eastAsia="方正小标宋_GBK" w:cs="Times New Roman"/>
          <w:kern w:val="0"/>
          <w:sz w:val="36"/>
          <w:szCs w:val="36"/>
        </w:rPr>
      </w:pPr>
    </w:p>
    <w:p>
      <w:pPr>
        <w:widowControl/>
        <w:jc w:val="center"/>
        <w:rPr>
          <w:rFonts w:ascii="Times New Roman" w:hAnsi="Times New Roman" w:eastAsia="方正小标宋_GBK" w:cs="Times New Roman"/>
          <w:kern w:val="0"/>
          <w:sz w:val="36"/>
          <w:szCs w:val="36"/>
        </w:rPr>
      </w:pPr>
    </w:p>
    <w:p>
      <w:pPr>
        <w:widowControl/>
        <w:jc w:val="center"/>
        <w:rPr>
          <w:rFonts w:ascii="Times New Roman" w:hAnsi="Times New Roman" w:eastAsia="方正小标宋_GBK" w:cs="Times New Roman"/>
          <w:kern w:val="0"/>
          <w:sz w:val="36"/>
          <w:szCs w:val="36"/>
        </w:rPr>
      </w:pPr>
    </w:p>
    <w:p>
      <w:pPr>
        <w:widowControl/>
        <w:jc w:val="center"/>
        <w:rPr>
          <w:rFonts w:ascii="Times New Roman" w:hAnsi="Times New Roman" w:eastAsia="方正小标宋_GBK" w:cs="Times New Roman"/>
          <w:kern w:val="0"/>
          <w:sz w:val="36"/>
          <w:szCs w:val="36"/>
        </w:rPr>
      </w:pPr>
    </w:p>
    <w:p>
      <w:pPr>
        <w:widowControl/>
        <w:jc w:val="center"/>
        <w:rPr>
          <w:rFonts w:ascii="Times New Roman" w:hAnsi="Times New Roman" w:eastAsia="方正小标宋_GBK" w:cs="Times New Roman"/>
          <w:kern w:val="0"/>
          <w:sz w:val="36"/>
          <w:szCs w:val="36"/>
        </w:rPr>
      </w:pPr>
    </w:p>
    <w:p>
      <w:pPr>
        <w:widowControl/>
        <w:jc w:val="center"/>
        <w:rPr>
          <w:rFonts w:ascii="Times New Roman" w:hAnsi="Times New Roman" w:eastAsia="方正小标宋_GBK" w:cs="Times New Roman"/>
          <w:kern w:val="0"/>
          <w:sz w:val="36"/>
          <w:szCs w:val="36"/>
        </w:rPr>
      </w:pPr>
    </w:p>
    <w:p>
      <w:pPr>
        <w:widowControl/>
        <w:jc w:val="center"/>
        <w:rPr>
          <w:rFonts w:ascii="Times New Roman" w:hAnsi="Times New Roman" w:eastAsia="方正小标宋_GBK" w:cs="Times New Roman"/>
          <w:kern w:val="0"/>
          <w:sz w:val="36"/>
          <w:szCs w:val="36"/>
        </w:rPr>
      </w:pPr>
    </w:p>
    <w:p>
      <w:pPr>
        <w:widowControl/>
        <w:jc w:val="center"/>
        <w:rPr>
          <w:rFonts w:ascii="Times New Roman" w:hAnsi="Times New Roman" w:eastAsia="方正小标宋_GBK" w:cs="Times New Roman"/>
          <w:kern w:val="0"/>
          <w:sz w:val="36"/>
          <w:szCs w:val="36"/>
        </w:rPr>
      </w:pPr>
    </w:p>
    <w:p>
      <w:pPr>
        <w:widowControl/>
        <w:jc w:val="center"/>
        <w:rPr>
          <w:rFonts w:ascii="Times New Roman" w:hAnsi="Times New Roman" w:eastAsia="方正小标宋_GBK" w:cs="Times New Roman"/>
          <w:kern w:val="0"/>
          <w:sz w:val="36"/>
          <w:szCs w:val="36"/>
        </w:rPr>
      </w:pPr>
    </w:p>
    <w:p>
      <w:pPr>
        <w:widowControl/>
        <w:jc w:val="center"/>
        <w:rPr>
          <w:rFonts w:ascii="Times New Roman" w:hAnsi="Times New Roman" w:eastAsia="方正小标宋_GBK" w:cs="Times New Roman"/>
          <w:kern w:val="0"/>
          <w:sz w:val="36"/>
          <w:szCs w:val="36"/>
        </w:rPr>
      </w:pPr>
    </w:p>
    <w:p>
      <w:pPr>
        <w:widowControl/>
        <w:jc w:val="center"/>
        <w:rPr>
          <w:rFonts w:ascii="Times New Roman" w:hAnsi="Times New Roman" w:eastAsia="方正小标宋_GBK" w:cs="Times New Roman"/>
          <w:kern w:val="0"/>
          <w:sz w:val="36"/>
          <w:szCs w:val="36"/>
        </w:rPr>
      </w:pPr>
    </w:p>
    <w:p>
      <w:pPr>
        <w:widowControl/>
        <w:jc w:val="center"/>
        <w:rPr>
          <w:rFonts w:ascii="Times New Roman" w:hAnsi="Times New Roman" w:eastAsia="方正小标宋_GBK" w:cs="Times New Roman"/>
          <w:kern w:val="0"/>
          <w:sz w:val="36"/>
          <w:szCs w:val="36"/>
        </w:rPr>
      </w:pPr>
    </w:p>
    <w:bookmarkEnd w:id="1"/>
    <w:tbl>
      <w:tblPr>
        <w:tblStyle w:val="11"/>
        <w:tblW w:w="15452" w:type="dxa"/>
        <w:tblInd w:w="0" w:type="dxa"/>
        <w:tblLayout w:type="fixed"/>
        <w:tblCellMar>
          <w:top w:w="0" w:type="dxa"/>
          <w:left w:w="108" w:type="dxa"/>
          <w:bottom w:w="0" w:type="dxa"/>
          <w:right w:w="108" w:type="dxa"/>
        </w:tblCellMar>
      </w:tblPr>
      <w:tblGrid>
        <w:gridCol w:w="907"/>
        <w:gridCol w:w="84"/>
        <w:gridCol w:w="240"/>
        <w:gridCol w:w="1385"/>
        <w:gridCol w:w="1606"/>
        <w:gridCol w:w="502"/>
        <w:gridCol w:w="588"/>
        <w:gridCol w:w="953"/>
        <w:gridCol w:w="731"/>
        <w:gridCol w:w="1554"/>
        <w:gridCol w:w="537"/>
        <w:gridCol w:w="363"/>
        <w:gridCol w:w="1213"/>
        <w:gridCol w:w="518"/>
        <w:gridCol w:w="2091"/>
        <w:gridCol w:w="1228"/>
        <w:gridCol w:w="952"/>
      </w:tblGrid>
      <w:tr>
        <w:tblPrEx>
          <w:tblCellMar>
            <w:top w:w="0" w:type="dxa"/>
            <w:left w:w="108" w:type="dxa"/>
            <w:bottom w:w="0" w:type="dxa"/>
            <w:right w:w="108" w:type="dxa"/>
          </w:tblCellMar>
        </w:tblPrEx>
        <w:trPr>
          <w:trHeight w:val="113" w:hRule="atLeast"/>
        </w:trPr>
        <w:tc>
          <w:tcPr>
            <w:tcW w:w="15452" w:type="dxa"/>
            <w:gridSpan w:val="17"/>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bottom"/>
              <w:rPr>
                <w:rFonts w:hint="eastAsia" w:ascii="宋体" w:hAnsi="宋体" w:eastAsia="宋体" w:cs="宋体"/>
                <w:i w:val="0"/>
                <w:iCs w:val="0"/>
                <w:color w:val="000000"/>
                <w:kern w:val="0"/>
                <w:sz w:val="30"/>
                <w:szCs w:val="30"/>
                <w:u w:val="none"/>
                <w:lang w:val="en-US" w:eastAsia="zh-CN" w:bidi="ar"/>
              </w:rPr>
            </w:pPr>
            <w:bookmarkStart w:id="2" w:name="RANGE!A1:I34"/>
            <w:r>
              <w:rPr>
                <w:rFonts w:hint="eastAsia" w:ascii="宋体" w:hAnsi="宋体" w:eastAsia="宋体" w:cs="宋体"/>
                <w:i w:val="0"/>
                <w:iCs w:val="0"/>
                <w:color w:val="000000"/>
                <w:kern w:val="0"/>
                <w:sz w:val="30"/>
                <w:szCs w:val="30"/>
                <w:u w:val="none"/>
                <w:lang w:val="en-US" w:eastAsia="zh-CN" w:bidi="ar"/>
              </w:rPr>
              <w:t>一般公共预算财政拨款基本支出决算明细表</w:t>
            </w:r>
            <w:bookmarkEnd w:id="2"/>
          </w:p>
          <w:p>
            <w:pPr>
              <w:keepNext w:val="0"/>
              <w:keepLines w:val="0"/>
              <w:pageBreakBefore w:val="0"/>
              <w:widowControl/>
              <w:kinsoku/>
              <w:wordWrap w:val="0"/>
              <w:overflowPunct/>
              <w:topLinePunct w:val="0"/>
              <w:autoSpaceDE/>
              <w:autoSpaceDN/>
              <w:bidi w:val="0"/>
              <w:adjustRightInd/>
              <w:snapToGrid/>
              <w:spacing w:line="240" w:lineRule="exact"/>
              <w:jc w:val="righ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公开06表</w:t>
            </w:r>
          </w:p>
          <w:p>
            <w:pPr>
              <w:keepNext w:val="0"/>
              <w:keepLines w:val="0"/>
              <w:pageBreakBefore w:val="0"/>
              <w:widowControl/>
              <w:kinsoku/>
              <w:overflowPunct/>
              <w:topLinePunct w:val="0"/>
              <w:autoSpaceDE/>
              <w:autoSpaceDN/>
              <w:bidi w:val="0"/>
              <w:adjustRightInd/>
              <w:snapToGrid/>
              <w:spacing w:line="240" w:lineRule="exact"/>
              <w:jc w:val="both"/>
              <w:rPr>
                <w:rFonts w:ascii="华文中宋" w:hAnsi="华文中宋" w:eastAsia="华文中宋" w:cs="宋体"/>
                <w:color w:val="000000"/>
                <w:kern w:val="0"/>
                <w:szCs w:val="32"/>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部门： </w:t>
            </w:r>
            <w:r>
              <w:rPr>
                <w:rFonts w:hint="eastAsia"/>
                <w:lang w:eastAsia="zh-CN"/>
              </w:rPr>
              <w:t>怀化市民族宗教事务局</w:t>
            </w:r>
            <w:r>
              <w:rPr>
                <w:rFonts w:hint="eastAsia"/>
                <w:lang w:val="en-US" w:eastAsia="zh-CN"/>
              </w:rPr>
              <w:t xml:space="preserve"> </w:t>
            </w:r>
            <w:r>
              <w:rPr>
                <w:rFonts w:hint="eastAsia" w:ascii="Times New Roman" w:hAnsi="Times New Roman" w:eastAsia="仿宋_GB2312" w:cs="Times New Roman"/>
                <w:color w:val="000000"/>
                <w:kern w:val="0"/>
                <w:szCs w:val="21"/>
                <w:lang w:val="en-US" w:eastAsia="zh-CN"/>
              </w:rPr>
              <w:t xml:space="preserve">                                                                                                          </w:t>
            </w:r>
            <w:r>
              <w:rPr>
                <w:rFonts w:hint="eastAsia" w:ascii="Times New Roman" w:hAnsi="Times New Roman" w:eastAsia="仿宋_GB2312" w:cs="Times New Roman"/>
                <w:color w:val="000000"/>
                <w:kern w:val="0"/>
                <w:szCs w:val="21"/>
              </w:rPr>
              <w:t>单位：万元</w:t>
            </w:r>
          </w:p>
        </w:tc>
      </w:tr>
      <w:tr>
        <w:tblPrEx>
          <w:tblCellMar>
            <w:top w:w="0" w:type="dxa"/>
            <w:left w:w="108" w:type="dxa"/>
            <w:bottom w:w="0" w:type="dxa"/>
            <w:right w:w="108" w:type="dxa"/>
          </w:tblCellMar>
        </w:tblPrEx>
        <w:trPr>
          <w:trHeight w:val="816" w:hRule="atLeast"/>
        </w:trPr>
        <w:tc>
          <w:tcPr>
            <w:tcW w:w="90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经济分类科目编码</w:t>
            </w:r>
          </w:p>
        </w:tc>
        <w:tc>
          <w:tcPr>
            <w:tcW w:w="3315" w:type="dxa"/>
            <w:gridSpan w:val="4"/>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科目名称</w:t>
            </w:r>
          </w:p>
        </w:tc>
        <w:tc>
          <w:tcPr>
            <w:tcW w:w="1090" w:type="dxa"/>
            <w:gridSpan w:val="2"/>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决算数</w:t>
            </w:r>
          </w:p>
        </w:tc>
        <w:tc>
          <w:tcPr>
            <w:tcW w:w="953"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经济分类科目编码</w:t>
            </w:r>
          </w:p>
        </w:tc>
        <w:tc>
          <w:tcPr>
            <w:tcW w:w="2285" w:type="dxa"/>
            <w:gridSpan w:val="2"/>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科目名称</w:t>
            </w:r>
          </w:p>
        </w:tc>
        <w:tc>
          <w:tcPr>
            <w:tcW w:w="900" w:type="dxa"/>
            <w:gridSpan w:val="2"/>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决算数</w:t>
            </w:r>
          </w:p>
        </w:tc>
        <w:tc>
          <w:tcPr>
            <w:tcW w:w="1213"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经济分类科目编码</w:t>
            </w:r>
          </w:p>
        </w:tc>
        <w:tc>
          <w:tcPr>
            <w:tcW w:w="3837" w:type="dxa"/>
            <w:gridSpan w:val="3"/>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科目名称</w:t>
            </w:r>
          </w:p>
        </w:tc>
        <w:tc>
          <w:tcPr>
            <w:tcW w:w="952"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决算数</w:t>
            </w:r>
          </w:p>
        </w:tc>
      </w:tr>
      <w:tr>
        <w:tblPrEx>
          <w:tblCellMar>
            <w:top w:w="0" w:type="dxa"/>
            <w:left w:w="108" w:type="dxa"/>
            <w:bottom w:w="0" w:type="dxa"/>
            <w:right w:w="108" w:type="dxa"/>
          </w:tblCellMar>
        </w:tblPrEx>
        <w:trPr>
          <w:trHeight w:val="284" w:hRule="exact"/>
        </w:trPr>
        <w:tc>
          <w:tcPr>
            <w:tcW w:w="907"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301</w:t>
            </w:r>
          </w:p>
        </w:tc>
        <w:tc>
          <w:tcPr>
            <w:tcW w:w="3315" w:type="dxa"/>
            <w:gridSpan w:val="4"/>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工资福利支出</w:t>
            </w:r>
          </w:p>
        </w:tc>
        <w:tc>
          <w:tcPr>
            <w:tcW w:w="1090" w:type="dxa"/>
            <w:gridSpan w:val="2"/>
            <w:tcBorders>
              <w:top w:val="nil"/>
              <w:left w:val="nil"/>
              <w:bottom w:val="single" w:color="auto" w:sz="4" w:space="0"/>
              <w:right w:val="single" w:color="auto" w:sz="4" w:space="0"/>
            </w:tcBorders>
            <w:shd w:val="clear" w:color="auto" w:fill="auto"/>
            <w:noWrap/>
            <w:vAlign w:val="top"/>
          </w:tcPr>
          <w:p>
            <w:pPr>
              <w:widowControl/>
              <w:jc w:val="right"/>
              <w:rPr>
                <w:rFonts w:hint="eastAsia" w:asciiTheme="minorEastAsia" w:hAnsiTheme="minorEastAsia" w:eastAsiaTheme="minorEastAsia" w:cstheme="minorEastAsia"/>
                <w:color w:val="000000"/>
                <w:kern w:val="0"/>
                <w:sz w:val="21"/>
                <w:szCs w:val="21"/>
                <w:lang w:val="en-US" w:eastAsia="zh-CN"/>
              </w:rPr>
            </w:pPr>
            <w:r>
              <w:rPr>
                <w:rFonts w:hint="eastAsia" w:asciiTheme="minorEastAsia" w:hAnsiTheme="minorEastAsia" w:eastAsiaTheme="minorEastAsia" w:cstheme="minorEastAsia"/>
                <w:color w:val="000000"/>
                <w:kern w:val="0"/>
                <w:sz w:val="21"/>
                <w:szCs w:val="21"/>
                <w:lang w:val="en-US" w:eastAsia="zh-CN"/>
              </w:rPr>
              <w:t>377.05</w:t>
            </w:r>
          </w:p>
        </w:tc>
        <w:tc>
          <w:tcPr>
            <w:tcW w:w="95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302</w:t>
            </w:r>
          </w:p>
        </w:tc>
        <w:tc>
          <w:tcPr>
            <w:tcW w:w="2285"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商品和服务支出</w:t>
            </w:r>
          </w:p>
        </w:tc>
        <w:tc>
          <w:tcPr>
            <w:tcW w:w="900" w:type="dxa"/>
            <w:gridSpan w:val="2"/>
            <w:tcBorders>
              <w:top w:val="nil"/>
              <w:left w:val="nil"/>
              <w:bottom w:val="single" w:color="auto" w:sz="4" w:space="0"/>
              <w:right w:val="single" w:color="auto" w:sz="4" w:space="0"/>
            </w:tcBorders>
            <w:shd w:val="clear" w:color="auto" w:fill="auto"/>
            <w:noWrap/>
            <w:vAlign w:val="top"/>
          </w:tcPr>
          <w:p>
            <w:pPr>
              <w:widowControl/>
              <w:jc w:val="right"/>
              <w:rPr>
                <w:rFonts w:hint="eastAsia" w:asciiTheme="minorEastAsia" w:hAnsiTheme="minorEastAsia" w:eastAsiaTheme="minorEastAsia" w:cstheme="minorEastAsia"/>
                <w:color w:val="000000"/>
                <w:kern w:val="0"/>
                <w:sz w:val="21"/>
                <w:szCs w:val="21"/>
                <w:lang w:val="en-US" w:eastAsia="zh-CN"/>
              </w:rPr>
            </w:pPr>
            <w:r>
              <w:rPr>
                <w:rFonts w:hint="eastAsia" w:asciiTheme="minorEastAsia" w:hAnsiTheme="minorEastAsia" w:cstheme="minorEastAsia"/>
                <w:color w:val="000000"/>
                <w:kern w:val="0"/>
                <w:sz w:val="21"/>
                <w:szCs w:val="21"/>
                <w:lang w:val="en-US" w:eastAsia="zh-CN"/>
              </w:rPr>
              <w:t>55.71</w:t>
            </w:r>
            <w:r>
              <w:rPr>
                <w:rFonts w:hint="eastAsia" w:asciiTheme="minorEastAsia" w:hAnsiTheme="minorEastAsia" w:eastAsiaTheme="minorEastAsia" w:cstheme="minorEastAsia"/>
                <w:color w:val="000000"/>
                <w:kern w:val="0"/>
                <w:sz w:val="21"/>
                <w:szCs w:val="21"/>
              </w:rPr>
              <w:t>　</w:t>
            </w:r>
            <w:r>
              <w:rPr>
                <w:rFonts w:hint="eastAsia" w:asciiTheme="minorEastAsia" w:hAnsiTheme="minorEastAsia" w:eastAsiaTheme="minorEastAsia" w:cstheme="minorEastAsia"/>
                <w:color w:val="000000"/>
                <w:kern w:val="0"/>
                <w:sz w:val="21"/>
                <w:szCs w:val="21"/>
                <w:lang w:val="en-US" w:eastAsia="zh-CN"/>
              </w:rPr>
              <w:t>55.71</w:t>
            </w:r>
          </w:p>
        </w:tc>
        <w:tc>
          <w:tcPr>
            <w:tcW w:w="121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307</w:t>
            </w:r>
          </w:p>
        </w:tc>
        <w:tc>
          <w:tcPr>
            <w:tcW w:w="3837" w:type="dxa"/>
            <w:gridSpan w:val="3"/>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债务利息及费用支出</w:t>
            </w:r>
          </w:p>
        </w:tc>
        <w:tc>
          <w:tcPr>
            <w:tcW w:w="95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w:t>
            </w:r>
          </w:p>
        </w:tc>
      </w:tr>
      <w:tr>
        <w:tblPrEx>
          <w:tblCellMar>
            <w:top w:w="0" w:type="dxa"/>
            <w:left w:w="108" w:type="dxa"/>
            <w:bottom w:w="0" w:type="dxa"/>
            <w:right w:w="108" w:type="dxa"/>
          </w:tblCellMar>
        </w:tblPrEx>
        <w:trPr>
          <w:trHeight w:val="284" w:hRule="exact"/>
        </w:trPr>
        <w:tc>
          <w:tcPr>
            <w:tcW w:w="907"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30101</w:t>
            </w:r>
          </w:p>
        </w:tc>
        <w:tc>
          <w:tcPr>
            <w:tcW w:w="3315" w:type="dxa"/>
            <w:gridSpan w:val="4"/>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基本工资</w:t>
            </w:r>
          </w:p>
        </w:tc>
        <w:tc>
          <w:tcPr>
            <w:tcW w:w="1090" w:type="dxa"/>
            <w:gridSpan w:val="2"/>
            <w:tcBorders>
              <w:top w:val="nil"/>
              <w:left w:val="nil"/>
              <w:bottom w:val="single" w:color="auto" w:sz="4" w:space="0"/>
              <w:right w:val="single" w:color="auto" w:sz="4" w:space="0"/>
            </w:tcBorders>
            <w:shd w:val="clear" w:color="auto" w:fill="auto"/>
            <w:noWrap/>
            <w:vAlign w:val="top"/>
          </w:tcPr>
          <w:p>
            <w:pPr>
              <w:widowControl/>
              <w:jc w:val="right"/>
              <w:rPr>
                <w:rFonts w:hint="eastAsia" w:asciiTheme="minorEastAsia" w:hAnsiTheme="minorEastAsia" w:eastAsiaTheme="minorEastAsia" w:cstheme="minorEastAsia"/>
                <w:color w:val="000000"/>
                <w:kern w:val="0"/>
                <w:sz w:val="21"/>
                <w:szCs w:val="21"/>
                <w:lang w:val="en-US" w:eastAsia="zh-CN"/>
              </w:rPr>
            </w:pPr>
            <w:r>
              <w:rPr>
                <w:rFonts w:hint="eastAsia" w:asciiTheme="minorEastAsia" w:hAnsiTheme="minorEastAsia" w:eastAsiaTheme="minorEastAsia" w:cstheme="minorEastAsia"/>
                <w:color w:val="000000"/>
                <w:kern w:val="0"/>
                <w:sz w:val="21"/>
                <w:szCs w:val="21"/>
              </w:rPr>
              <w:t>　</w:t>
            </w:r>
            <w:r>
              <w:rPr>
                <w:rFonts w:hint="eastAsia" w:asciiTheme="minorEastAsia" w:hAnsiTheme="minorEastAsia" w:eastAsiaTheme="minorEastAsia" w:cstheme="minorEastAsia"/>
                <w:color w:val="000000"/>
                <w:kern w:val="0"/>
                <w:sz w:val="21"/>
                <w:szCs w:val="21"/>
                <w:lang w:val="en-US" w:eastAsia="zh-CN"/>
              </w:rPr>
              <w:t>120.14</w:t>
            </w:r>
          </w:p>
        </w:tc>
        <w:tc>
          <w:tcPr>
            <w:tcW w:w="95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30201</w:t>
            </w:r>
          </w:p>
        </w:tc>
        <w:tc>
          <w:tcPr>
            <w:tcW w:w="2285"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办公费</w:t>
            </w:r>
          </w:p>
        </w:tc>
        <w:tc>
          <w:tcPr>
            <w:tcW w:w="900" w:type="dxa"/>
            <w:gridSpan w:val="2"/>
            <w:tcBorders>
              <w:top w:val="nil"/>
              <w:left w:val="nil"/>
              <w:bottom w:val="single" w:color="auto" w:sz="4" w:space="0"/>
              <w:right w:val="single" w:color="auto" w:sz="4" w:space="0"/>
            </w:tcBorders>
            <w:shd w:val="clear" w:color="auto" w:fill="auto"/>
            <w:noWrap/>
            <w:vAlign w:val="top"/>
          </w:tcPr>
          <w:p>
            <w:pPr>
              <w:widowControl/>
              <w:jc w:val="right"/>
              <w:rPr>
                <w:rFonts w:hint="eastAsia" w:asciiTheme="minorEastAsia" w:hAnsiTheme="minorEastAsia" w:eastAsiaTheme="minorEastAsia" w:cstheme="minorEastAsia"/>
                <w:color w:val="000000"/>
                <w:kern w:val="0"/>
                <w:sz w:val="21"/>
                <w:szCs w:val="21"/>
                <w:lang w:val="en-US" w:eastAsia="zh-CN"/>
              </w:rPr>
            </w:pPr>
            <w:r>
              <w:rPr>
                <w:rFonts w:hint="eastAsia" w:asciiTheme="minorEastAsia" w:hAnsiTheme="minorEastAsia" w:eastAsiaTheme="minorEastAsia" w:cstheme="minorEastAsia"/>
                <w:color w:val="000000"/>
                <w:kern w:val="0"/>
                <w:sz w:val="21"/>
                <w:szCs w:val="21"/>
                <w:lang w:val="en-US" w:eastAsia="zh-CN"/>
              </w:rPr>
              <w:t>0.24</w:t>
            </w:r>
            <w:r>
              <w:rPr>
                <w:rFonts w:hint="eastAsia" w:asciiTheme="minorEastAsia" w:hAnsiTheme="minorEastAsia" w:eastAsiaTheme="minorEastAsia" w:cstheme="minorEastAsia"/>
                <w:color w:val="000000"/>
                <w:kern w:val="0"/>
                <w:sz w:val="21"/>
                <w:szCs w:val="21"/>
              </w:rPr>
              <w:t>　</w:t>
            </w:r>
            <w:r>
              <w:rPr>
                <w:rFonts w:hint="eastAsia" w:asciiTheme="minorEastAsia" w:hAnsiTheme="minorEastAsia" w:eastAsiaTheme="minorEastAsia" w:cstheme="minorEastAsia"/>
                <w:color w:val="000000"/>
                <w:kern w:val="0"/>
                <w:sz w:val="21"/>
                <w:szCs w:val="21"/>
                <w:lang w:val="en-US" w:eastAsia="zh-CN"/>
              </w:rPr>
              <w:t>3.3.913.91</w:t>
            </w:r>
          </w:p>
        </w:tc>
        <w:tc>
          <w:tcPr>
            <w:tcW w:w="121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30701</w:t>
            </w:r>
          </w:p>
        </w:tc>
        <w:tc>
          <w:tcPr>
            <w:tcW w:w="3837" w:type="dxa"/>
            <w:gridSpan w:val="3"/>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国内债务付息</w:t>
            </w:r>
          </w:p>
        </w:tc>
        <w:tc>
          <w:tcPr>
            <w:tcW w:w="95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w:t>
            </w:r>
          </w:p>
        </w:tc>
      </w:tr>
      <w:tr>
        <w:tblPrEx>
          <w:tblCellMar>
            <w:top w:w="0" w:type="dxa"/>
            <w:left w:w="108" w:type="dxa"/>
            <w:bottom w:w="0" w:type="dxa"/>
            <w:right w:w="108" w:type="dxa"/>
          </w:tblCellMar>
        </w:tblPrEx>
        <w:trPr>
          <w:trHeight w:val="284" w:hRule="exact"/>
        </w:trPr>
        <w:tc>
          <w:tcPr>
            <w:tcW w:w="907"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30102</w:t>
            </w:r>
          </w:p>
        </w:tc>
        <w:tc>
          <w:tcPr>
            <w:tcW w:w="3315" w:type="dxa"/>
            <w:gridSpan w:val="4"/>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津贴补贴</w:t>
            </w:r>
          </w:p>
        </w:tc>
        <w:tc>
          <w:tcPr>
            <w:tcW w:w="1090" w:type="dxa"/>
            <w:gridSpan w:val="2"/>
            <w:tcBorders>
              <w:top w:val="nil"/>
              <w:left w:val="nil"/>
              <w:bottom w:val="single" w:color="auto" w:sz="4" w:space="0"/>
              <w:right w:val="single" w:color="auto" w:sz="4" w:space="0"/>
            </w:tcBorders>
            <w:shd w:val="clear" w:color="auto" w:fill="auto"/>
            <w:noWrap/>
            <w:vAlign w:val="top"/>
          </w:tcPr>
          <w:p>
            <w:pPr>
              <w:widowControl/>
              <w:jc w:val="right"/>
              <w:rPr>
                <w:rFonts w:hint="eastAsia" w:asciiTheme="minorEastAsia" w:hAnsiTheme="minorEastAsia" w:eastAsiaTheme="minorEastAsia" w:cstheme="minorEastAsia"/>
                <w:color w:val="000000"/>
                <w:kern w:val="0"/>
                <w:sz w:val="21"/>
                <w:szCs w:val="21"/>
                <w:lang w:val="en-US" w:eastAsia="zh-CN"/>
              </w:rPr>
            </w:pPr>
            <w:r>
              <w:rPr>
                <w:rFonts w:hint="eastAsia" w:asciiTheme="minorEastAsia" w:hAnsiTheme="minorEastAsia" w:eastAsiaTheme="minorEastAsia" w:cstheme="minorEastAsia"/>
                <w:color w:val="000000"/>
                <w:kern w:val="0"/>
                <w:sz w:val="21"/>
                <w:szCs w:val="21"/>
                <w:lang w:val="en-US" w:eastAsia="zh-CN"/>
              </w:rPr>
              <w:t>63.64</w:t>
            </w:r>
          </w:p>
        </w:tc>
        <w:tc>
          <w:tcPr>
            <w:tcW w:w="95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30202</w:t>
            </w:r>
          </w:p>
        </w:tc>
        <w:tc>
          <w:tcPr>
            <w:tcW w:w="2285"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印刷费</w:t>
            </w:r>
          </w:p>
        </w:tc>
        <w:tc>
          <w:tcPr>
            <w:tcW w:w="900" w:type="dxa"/>
            <w:gridSpan w:val="2"/>
            <w:tcBorders>
              <w:top w:val="nil"/>
              <w:left w:val="nil"/>
              <w:bottom w:val="single" w:color="auto" w:sz="4" w:space="0"/>
              <w:right w:val="single" w:color="auto" w:sz="4" w:space="0"/>
            </w:tcBorders>
            <w:shd w:val="clear" w:color="auto" w:fill="auto"/>
            <w:noWrap/>
            <w:vAlign w:val="top"/>
          </w:tcPr>
          <w:p>
            <w:pPr>
              <w:widowControl/>
              <w:jc w:val="righ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w:t>
            </w:r>
          </w:p>
        </w:tc>
        <w:tc>
          <w:tcPr>
            <w:tcW w:w="121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30702</w:t>
            </w:r>
          </w:p>
        </w:tc>
        <w:tc>
          <w:tcPr>
            <w:tcW w:w="3837" w:type="dxa"/>
            <w:gridSpan w:val="3"/>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国外债务付息</w:t>
            </w:r>
          </w:p>
        </w:tc>
        <w:tc>
          <w:tcPr>
            <w:tcW w:w="95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w:t>
            </w:r>
          </w:p>
        </w:tc>
      </w:tr>
      <w:tr>
        <w:tblPrEx>
          <w:tblCellMar>
            <w:top w:w="0" w:type="dxa"/>
            <w:left w:w="108" w:type="dxa"/>
            <w:bottom w:w="0" w:type="dxa"/>
            <w:right w:w="108" w:type="dxa"/>
          </w:tblCellMar>
        </w:tblPrEx>
        <w:trPr>
          <w:trHeight w:val="284" w:hRule="exact"/>
        </w:trPr>
        <w:tc>
          <w:tcPr>
            <w:tcW w:w="907"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30103</w:t>
            </w:r>
          </w:p>
        </w:tc>
        <w:tc>
          <w:tcPr>
            <w:tcW w:w="3315" w:type="dxa"/>
            <w:gridSpan w:val="4"/>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奖金</w:t>
            </w:r>
          </w:p>
        </w:tc>
        <w:tc>
          <w:tcPr>
            <w:tcW w:w="1090" w:type="dxa"/>
            <w:gridSpan w:val="2"/>
            <w:tcBorders>
              <w:top w:val="nil"/>
              <w:left w:val="nil"/>
              <w:bottom w:val="single" w:color="auto" w:sz="4" w:space="0"/>
              <w:right w:val="single" w:color="auto" w:sz="4" w:space="0"/>
            </w:tcBorders>
            <w:shd w:val="clear" w:color="auto" w:fill="auto"/>
            <w:noWrap/>
            <w:vAlign w:val="top"/>
          </w:tcPr>
          <w:p>
            <w:pPr>
              <w:widowControl/>
              <w:jc w:val="right"/>
              <w:rPr>
                <w:rFonts w:hint="eastAsia" w:asciiTheme="minorEastAsia" w:hAnsiTheme="minorEastAsia" w:eastAsiaTheme="minorEastAsia" w:cstheme="minorEastAsia"/>
                <w:color w:val="000000"/>
                <w:kern w:val="0"/>
                <w:sz w:val="21"/>
                <w:szCs w:val="21"/>
                <w:lang w:val="en-US" w:eastAsia="zh-CN"/>
              </w:rPr>
            </w:pPr>
            <w:r>
              <w:rPr>
                <w:rFonts w:hint="eastAsia" w:asciiTheme="minorEastAsia" w:hAnsiTheme="minorEastAsia" w:eastAsiaTheme="minorEastAsia" w:cstheme="minorEastAsia"/>
                <w:color w:val="000000"/>
                <w:kern w:val="0"/>
                <w:sz w:val="21"/>
                <w:szCs w:val="21"/>
              </w:rPr>
              <w:t>　</w:t>
            </w:r>
            <w:r>
              <w:rPr>
                <w:rFonts w:hint="eastAsia" w:asciiTheme="minorEastAsia" w:hAnsiTheme="minorEastAsia" w:eastAsiaTheme="minorEastAsia" w:cstheme="minorEastAsia"/>
                <w:color w:val="000000"/>
                <w:kern w:val="0"/>
                <w:sz w:val="21"/>
                <w:szCs w:val="21"/>
                <w:lang w:val="en-US" w:eastAsia="zh-CN"/>
              </w:rPr>
              <w:t>80.34</w:t>
            </w:r>
          </w:p>
        </w:tc>
        <w:tc>
          <w:tcPr>
            <w:tcW w:w="95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30203</w:t>
            </w:r>
          </w:p>
        </w:tc>
        <w:tc>
          <w:tcPr>
            <w:tcW w:w="2285"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咨询费</w:t>
            </w:r>
          </w:p>
        </w:tc>
        <w:tc>
          <w:tcPr>
            <w:tcW w:w="900" w:type="dxa"/>
            <w:gridSpan w:val="2"/>
            <w:tcBorders>
              <w:top w:val="nil"/>
              <w:left w:val="nil"/>
              <w:bottom w:val="single" w:color="auto" w:sz="4" w:space="0"/>
              <w:right w:val="single" w:color="auto" w:sz="4" w:space="0"/>
            </w:tcBorders>
            <w:shd w:val="clear" w:color="auto" w:fill="auto"/>
            <w:noWrap/>
            <w:vAlign w:val="top"/>
          </w:tcPr>
          <w:p>
            <w:pPr>
              <w:widowControl/>
              <w:jc w:val="righ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w:t>
            </w:r>
          </w:p>
        </w:tc>
        <w:tc>
          <w:tcPr>
            <w:tcW w:w="121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310</w:t>
            </w:r>
          </w:p>
        </w:tc>
        <w:tc>
          <w:tcPr>
            <w:tcW w:w="3837" w:type="dxa"/>
            <w:gridSpan w:val="3"/>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资本性支出</w:t>
            </w:r>
          </w:p>
        </w:tc>
        <w:tc>
          <w:tcPr>
            <w:tcW w:w="95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w:t>
            </w:r>
          </w:p>
        </w:tc>
      </w:tr>
      <w:tr>
        <w:tblPrEx>
          <w:tblCellMar>
            <w:top w:w="0" w:type="dxa"/>
            <w:left w:w="108" w:type="dxa"/>
            <w:bottom w:w="0" w:type="dxa"/>
            <w:right w:w="108" w:type="dxa"/>
          </w:tblCellMar>
        </w:tblPrEx>
        <w:trPr>
          <w:trHeight w:val="284" w:hRule="exact"/>
        </w:trPr>
        <w:tc>
          <w:tcPr>
            <w:tcW w:w="907"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30106</w:t>
            </w:r>
          </w:p>
        </w:tc>
        <w:tc>
          <w:tcPr>
            <w:tcW w:w="3315" w:type="dxa"/>
            <w:gridSpan w:val="4"/>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伙食补助费</w:t>
            </w:r>
          </w:p>
        </w:tc>
        <w:tc>
          <w:tcPr>
            <w:tcW w:w="1090" w:type="dxa"/>
            <w:gridSpan w:val="2"/>
            <w:tcBorders>
              <w:top w:val="nil"/>
              <w:left w:val="nil"/>
              <w:bottom w:val="single" w:color="auto" w:sz="4" w:space="0"/>
              <w:right w:val="single" w:color="auto" w:sz="4" w:space="0"/>
            </w:tcBorders>
            <w:shd w:val="clear" w:color="auto" w:fill="auto"/>
            <w:noWrap/>
            <w:vAlign w:val="top"/>
          </w:tcPr>
          <w:p>
            <w:pPr>
              <w:widowControl/>
              <w:jc w:val="right"/>
              <w:rPr>
                <w:rFonts w:hint="eastAsia" w:asciiTheme="minorEastAsia" w:hAnsiTheme="minorEastAsia" w:eastAsiaTheme="minorEastAsia" w:cstheme="minorEastAsia"/>
                <w:color w:val="000000"/>
                <w:kern w:val="0"/>
                <w:sz w:val="21"/>
                <w:szCs w:val="21"/>
                <w:lang w:val="en-US" w:eastAsia="zh-CN"/>
              </w:rPr>
            </w:pPr>
            <w:r>
              <w:rPr>
                <w:rFonts w:hint="eastAsia" w:asciiTheme="minorEastAsia" w:hAnsiTheme="minorEastAsia" w:eastAsiaTheme="minorEastAsia" w:cstheme="minorEastAsia"/>
                <w:color w:val="000000"/>
                <w:kern w:val="0"/>
                <w:sz w:val="21"/>
                <w:szCs w:val="21"/>
                <w:lang w:val="en-US" w:eastAsia="zh-CN"/>
              </w:rPr>
              <w:t>9.37</w:t>
            </w:r>
          </w:p>
        </w:tc>
        <w:tc>
          <w:tcPr>
            <w:tcW w:w="95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30204</w:t>
            </w:r>
          </w:p>
        </w:tc>
        <w:tc>
          <w:tcPr>
            <w:tcW w:w="2285"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手续费</w:t>
            </w:r>
          </w:p>
        </w:tc>
        <w:tc>
          <w:tcPr>
            <w:tcW w:w="900" w:type="dxa"/>
            <w:gridSpan w:val="2"/>
            <w:tcBorders>
              <w:top w:val="nil"/>
              <w:left w:val="nil"/>
              <w:bottom w:val="single" w:color="auto" w:sz="4" w:space="0"/>
              <w:right w:val="single" w:color="auto" w:sz="4" w:space="0"/>
            </w:tcBorders>
            <w:shd w:val="clear" w:color="auto" w:fill="auto"/>
            <w:noWrap/>
            <w:vAlign w:val="top"/>
          </w:tcPr>
          <w:p>
            <w:pPr>
              <w:widowControl/>
              <w:jc w:val="righ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w:t>
            </w:r>
          </w:p>
        </w:tc>
        <w:tc>
          <w:tcPr>
            <w:tcW w:w="121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31001</w:t>
            </w:r>
          </w:p>
        </w:tc>
        <w:tc>
          <w:tcPr>
            <w:tcW w:w="3837" w:type="dxa"/>
            <w:gridSpan w:val="3"/>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房屋建筑物购建</w:t>
            </w:r>
          </w:p>
        </w:tc>
        <w:tc>
          <w:tcPr>
            <w:tcW w:w="95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w:t>
            </w:r>
          </w:p>
        </w:tc>
      </w:tr>
      <w:tr>
        <w:tblPrEx>
          <w:tblCellMar>
            <w:top w:w="0" w:type="dxa"/>
            <w:left w:w="108" w:type="dxa"/>
            <w:bottom w:w="0" w:type="dxa"/>
            <w:right w:w="108" w:type="dxa"/>
          </w:tblCellMar>
        </w:tblPrEx>
        <w:trPr>
          <w:trHeight w:val="284" w:hRule="exact"/>
        </w:trPr>
        <w:tc>
          <w:tcPr>
            <w:tcW w:w="907"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30107</w:t>
            </w:r>
          </w:p>
        </w:tc>
        <w:tc>
          <w:tcPr>
            <w:tcW w:w="3315" w:type="dxa"/>
            <w:gridSpan w:val="4"/>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绩效工资</w:t>
            </w:r>
          </w:p>
        </w:tc>
        <w:tc>
          <w:tcPr>
            <w:tcW w:w="1090" w:type="dxa"/>
            <w:gridSpan w:val="2"/>
            <w:tcBorders>
              <w:top w:val="nil"/>
              <w:left w:val="nil"/>
              <w:bottom w:val="single" w:color="auto" w:sz="4" w:space="0"/>
              <w:right w:val="single" w:color="auto" w:sz="4" w:space="0"/>
            </w:tcBorders>
            <w:shd w:val="clear" w:color="auto" w:fill="auto"/>
            <w:noWrap/>
            <w:vAlign w:val="top"/>
          </w:tcPr>
          <w:p>
            <w:pPr>
              <w:widowControl/>
              <w:jc w:val="right"/>
              <w:rPr>
                <w:rFonts w:hint="eastAsia" w:asciiTheme="minorEastAsia" w:hAnsiTheme="minorEastAsia" w:eastAsiaTheme="minorEastAsia" w:cstheme="minorEastAsia"/>
                <w:color w:val="000000"/>
                <w:kern w:val="0"/>
                <w:sz w:val="21"/>
                <w:szCs w:val="21"/>
                <w:lang w:val="en-US" w:eastAsia="zh-CN"/>
              </w:rPr>
            </w:pPr>
            <w:r>
              <w:rPr>
                <w:rFonts w:hint="eastAsia" w:asciiTheme="minorEastAsia" w:hAnsiTheme="minorEastAsia" w:eastAsiaTheme="minorEastAsia" w:cstheme="minorEastAsia"/>
                <w:color w:val="000000"/>
                <w:kern w:val="0"/>
                <w:sz w:val="21"/>
                <w:szCs w:val="21"/>
              </w:rPr>
              <w:t>　</w:t>
            </w:r>
          </w:p>
        </w:tc>
        <w:tc>
          <w:tcPr>
            <w:tcW w:w="95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30205</w:t>
            </w:r>
          </w:p>
        </w:tc>
        <w:tc>
          <w:tcPr>
            <w:tcW w:w="2285"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水费</w:t>
            </w:r>
          </w:p>
        </w:tc>
        <w:tc>
          <w:tcPr>
            <w:tcW w:w="900" w:type="dxa"/>
            <w:gridSpan w:val="2"/>
            <w:tcBorders>
              <w:top w:val="nil"/>
              <w:left w:val="nil"/>
              <w:bottom w:val="single" w:color="auto" w:sz="4" w:space="0"/>
              <w:right w:val="single" w:color="auto" w:sz="4" w:space="0"/>
            </w:tcBorders>
            <w:shd w:val="clear" w:color="auto" w:fill="auto"/>
            <w:noWrap/>
            <w:vAlign w:val="top"/>
          </w:tcPr>
          <w:p>
            <w:pPr>
              <w:widowControl/>
              <w:jc w:val="righ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w:t>
            </w:r>
          </w:p>
        </w:tc>
        <w:tc>
          <w:tcPr>
            <w:tcW w:w="121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31002</w:t>
            </w:r>
          </w:p>
        </w:tc>
        <w:tc>
          <w:tcPr>
            <w:tcW w:w="3837" w:type="dxa"/>
            <w:gridSpan w:val="3"/>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办公设备购置</w:t>
            </w:r>
          </w:p>
        </w:tc>
        <w:tc>
          <w:tcPr>
            <w:tcW w:w="95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w:t>
            </w:r>
          </w:p>
        </w:tc>
      </w:tr>
      <w:tr>
        <w:tblPrEx>
          <w:tblCellMar>
            <w:top w:w="0" w:type="dxa"/>
            <w:left w:w="108" w:type="dxa"/>
            <w:bottom w:w="0" w:type="dxa"/>
            <w:right w:w="108" w:type="dxa"/>
          </w:tblCellMar>
        </w:tblPrEx>
        <w:trPr>
          <w:trHeight w:val="284" w:hRule="exact"/>
        </w:trPr>
        <w:tc>
          <w:tcPr>
            <w:tcW w:w="907"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30108</w:t>
            </w:r>
          </w:p>
        </w:tc>
        <w:tc>
          <w:tcPr>
            <w:tcW w:w="3315" w:type="dxa"/>
            <w:gridSpan w:val="4"/>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机关事业单位基本养老保险缴费</w:t>
            </w:r>
          </w:p>
        </w:tc>
        <w:tc>
          <w:tcPr>
            <w:tcW w:w="1090" w:type="dxa"/>
            <w:gridSpan w:val="2"/>
            <w:tcBorders>
              <w:top w:val="nil"/>
              <w:left w:val="nil"/>
              <w:bottom w:val="single" w:color="auto" w:sz="4" w:space="0"/>
              <w:right w:val="single" w:color="auto" w:sz="4" w:space="0"/>
            </w:tcBorders>
            <w:shd w:val="clear" w:color="auto" w:fill="auto"/>
            <w:noWrap/>
            <w:vAlign w:val="top"/>
          </w:tcPr>
          <w:p>
            <w:pPr>
              <w:widowControl/>
              <w:jc w:val="right"/>
              <w:rPr>
                <w:rFonts w:hint="eastAsia" w:asciiTheme="minorEastAsia" w:hAnsiTheme="minorEastAsia" w:eastAsiaTheme="minorEastAsia" w:cstheme="minorEastAsia"/>
                <w:color w:val="000000"/>
                <w:kern w:val="0"/>
                <w:sz w:val="21"/>
                <w:szCs w:val="21"/>
                <w:lang w:val="en-US" w:eastAsia="zh-CN"/>
              </w:rPr>
            </w:pPr>
            <w:r>
              <w:rPr>
                <w:rFonts w:hint="eastAsia" w:asciiTheme="minorEastAsia" w:hAnsiTheme="minorEastAsia" w:eastAsiaTheme="minorEastAsia" w:cstheme="minorEastAsia"/>
                <w:color w:val="000000"/>
                <w:kern w:val="0"/>
                <w:sz w:val="21"/>
                <w:szCs w:val="21"/>
                <w:lang w:val="en-US" w:eastAsia="zh-CN"/>
              </w:rPr>
              <w:t>37.45</w:t>
            </w:r>
          </w:p>
        </w:tc>
        <w:tc>
          <w:tcPr>
            <w:tcW w:w="95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30206</w:t>
            </w:r>
          </w:p>
        </w:tc>
        <w:tc>
          <w:tcPr>
            <w:tcW w:w="2285"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电费</w:t>
            </w:r>
          </w:p>
        </w:tc>
        <w:tc>
          <w:tcPr>
            <w:tcW w:w="900" w:type="dxa"/>
            <w:gridSpan w:val="2"/>
            <w:tcBorders>
              <w:top w:val="nil"/>
              <w:left w:val="nil"/>
              <w:bottom w:val="single" w:color="auto" w:sz="4" w:space="0"/>
              <w:right w:val="single" w:color="auto" w:sz="4" w:space="0"/>
            </w:tcBorders>
            <w:shd w:val="clear" w:color="auto" w:fill="auto"/>
            <w:noWrap/>
            <w:vAlign w:val="top"/>
          </w:tcPr>
          <w:p>
            <w:pPr>
              <w:widowControl/>
              <w:jc w:val="righ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w:t>
            </w:r>
          </w:p>
        </w:tc>
        <w:tc>
          <w:tcPr>
            <w:tcW w:w="121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31003</w:t>
            </w:r>
          </w:p>
        </w:tc>
        <w:tc>
          <w:tcPr>
            <w:tcW w:w="3837" w:type="dxa"/>
            <w:gridSpan w:val="3"/>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专用设备购置</w:t>
            </w:r>
          </w:p>
        </w:tc>
        <w:tc>
          <w:tcPr>
            <w:tcW w:w="95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w:t>
            </w:r>
          </w:p>
        </w:tc>
      </w:tr>
      <w:tr>
        <w:tblPrEx>
          <w:tblCellMar>
            <w:top w:w="0" w:type="dxa"/>
            <w:left w:w="108" w:type="dxa"/>
            <w:bottom w:w="0" w:type="dxa"/>
            <w:right w:w="108" w:type="dxa"/>
          </w:tblCellMar>
        </w:tblPrEx>
        <w:trPr>
          <w:trHeight w:val="284" w:hRule="exact"/>
        </w:trPr>
        <w:tc>
          <w:tcPr>
            <w:tcW w:w="907"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30109</w:t>
            </w:r>
          </w:p>
        </w:tc>
        <w:tc>
          <w:tcPr>
            <w:tcW w:w="3315" w:type="dxa"/>
            <w:gridSpan w:val="4"/>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职业年金缴费</w:t>
            </w:r>
          </w:p>
        </w:tc>
        <w:tc>
          <w:tcPr>
            <w:tcW w:w="1090" w:type="dxa"/>
            <w:gridSpan w:val="2"/>
            <w:tcBorders>
              <w:top w:val="nil"/>
              <w:left w:val="nil"/>
              <w:bottom w:val="single" w:color="auto" w:sz="4" w:space="0"/>
              <w:right w:val="single" w:color="auto" w:sz="4" w:space="0"/>
            </w:tcBorders>
            <w:shd w:val="clear" w:color="auto" w:fill="auto"/>
            <w:noWrap/>
            <w:vAlign w:val="top"/>
          </w:tcPr>
          <w:p>
            <w:pPr>
              <w:widowControl/>
              <w:jc w:val="righ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w:t>
            </w:r>
          </w:p>
        </w:tc>
        <w:tc>
          <w:tcPr>
            <w:tcW w:w="95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30207</w:t>
            </w:r>
          </w:p>
        </w:tc>
        <w:tc>
          <w:tcPr>
            <w:tcW w:w="2285"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邮电费</w:t>
            </w:r>
          </w:p>
        </w:tc>
        <w:tc>
          <w:tcPr>
            <w:tcW w:w="900" w:type="dxa"/>
            <w:gridSpan w:val="2"/>
            <w:tcBorders>
              <w:top w:val="nil"/>
              <w:left w:val="nil"/>
              <w:bottom w:val="single" w:color="auto" w:sz="4" w:space="0"/>
              <w:right w:val="single" w:color="auto" w:sz="4" w:space="0"/>
            </w:tcBorders>
            <w:shd w:val="clear" w:color="auto" w:fill="auto"/>
            <w:noWrap/>
            <w:vAlign w:val="top"/>
          </w:tcPr>
          <w:p>
            <w:pPr>
              <w:widowControl/>
              <w:jc w:val="righ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lang w:val="en-US" w:eastAsia="zh-CN"/>
              </w:rPr>
              <w:t>0.26</w:t>
            </w:r>
            <w:r>
              <w:rPr>
                <w:rFonts w:hint="eastAsia" w:asciiTheme="minorEastAsia" w:hAnsiTheme="minorEastAsia" w:eastAsiaTheme="minorEastAsia" w:cstheme="minorEastAsia"/>
                <w:color w:val="000000"/>
                <w:kern w:val="0"/>
                <w:sz w:val="21"/>
                <w:szCs w:val="21"/>
              </w:rPr>
              <w:t>　</w:t>
            </w:r>
          </w:p>
        </w:tc>
        <w:tc>
          <w:tcPr>
            <w:tcW w:w="121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31005</w:t>
            </w:r>
          </w:p>
        </w:tc>
        <w:tc>
          <w:tcPr>
            <w:tcW w:w="3837" w:type="dxa"/>
            <w:gridSpan w:val="3"/>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基础设施建设</w:t>
            </w:r>
          </w:p>
        </w:tc>
        <w:tc>
          <w:tcPr>
            <w:tcW w:w="95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w:t>
            </w:r>
          </w:p>
        </w:tc>
      </w:tr>
      <w:tr>
        <w:tblPrEx>
          <w:tblCellMar>
            <w:top w:w="0" w:type="dxa"/>
            <w:left w:w="108" w:type="dxa"/>
            <w:bottom w:w="0" w:type="dxa"/>
            <w:right w:w="108" w:type="dxa"/>
          </w:tblCellMar>
        </w:tblPrEx>
        <w:trPr>
          <w:trHeight w:val="284" w:hRule="exact"/>
        </w:trPr>
        <w:tc>
          <w:tcPr>
            <w:tcW w:w="907"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30110</w:t>
            </w:r>
          </w:p>
        </w:tc>
        <w:tc>
          <w:tcPr>
            <w:tcW w:w="3315" w:type="dxa"/>
            <w:gridSpan w:val="4"/>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职工基本医疗保险缴费</w:t>
            </w:r>
          </w:p>
        </w:tc>
        <w:tc>
          <w:tcPr>
            <w:tcW w:w="1090" w:type="dxa"/>
            <w:gridSpan w:val="2"/>
            <w:tcBorders>
              <w:top w:val="nil"/>
              <w:left w:val="nil"/>
              <w:bottom w:val="single" w:color="auto" w:sz="4" w:space="0"/>
              <w:right w:val="single" w:color="auto" w:sz="4" w:space="0"/>
            </w:tcBorders>
            <w:shd w:val="clear" w:color="auto" w:fill="auto"/>
            <w:noWrap/>
            <w:vAlign w:val="top"/>
          </w:tcPr>
          <w:p>
            <w:pPr>
              <w:widowControl/>
              <w:jc w:val="right"/>
              <w:rPr>
                <w:rFonts w:hint="default" w:asciiTheme="minorEastAsia" w:hAnsiTheme="minorEastAsia" w:eastAsiaTheme="minorEastAsia" w:cstheme="minorEastAsia"/>
                <w:color w:val="000000"/>
                <w:kern w:val="0"/>
                <w:sz w:val="21"/>
                <w:szCs w:val="21"/>
                <w:lang w:val="en-US" w:eastAsia="zh-CN"/>
              </w:rPr>
            </w:pPr>
            <w:r>
              <w:rPr>
                <w:rFonts w:hint="eastAsia" w:asciiTheme="minorEastAsia" w:hAnsiTheme="minorEastAsia" w:eastAsiaTheme="minorEastAsia" w:cstheme="minorEastAsia"/>
                <w:color w:val="000000"/>
                <w:kern w:val="0"/>
                <w:sz w:val="21"/>
                <w:szCs w:val="21"/>
              </w:rPr>
              <w:t>　</w:t>
            </w:r>
            <w:r>
              <w:rPr>
                <w:rFonts w:hint="eastAsia" w:asciiTheme="minorEastAsia" w:hAnsiTheme="minorEastAsia" w:eastAsiaTheme="minorEastAsia" w:cstheme="minorEastAsia"/>
                <w:color w:val="000000"/>
                <w:kern w:val="0"/>
                <w:sz w:val="21"/>
                <w:szCs w:val="21"/>
                <w:lang w:val="en-US" w:eastAsia="zh-CN"/>
              </w:rPr>
              <w:t>15.6</w:t>
            </w:r>
            <w:r>
              <w:rPr>
                <w:rFonts w:hint="eastAsia" w:asciiTheme="minorEastAsia" w:hAnsiTheme="minorEastAsia" w:cstheme="minorEastAsia"/>
                <w:color w:val="000000"/>
                <w:kern w:val="0"/>
                <w:sz w:val="21"/>
                <w:szCs w:val="21"/>
                <w:lang w:val="en-US" w:eastAsia="zh-CN"/>
              </w:rPr>
              <w:t>0</w:t>
            </w:r>
          </w:p>
        </w:tc>
        <w:tc>
          <w:tcPr>
            <w:tcW w:w="95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30208</w:t>
            </w:r>
          </w:p>
        </w:tc>
        <w:tc>
          <w:tcPr>
            <w:tcW w:w="2285"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取暖费</w:t>
            </w:r>
          </w:p>
        </w:tc>
        <w:tc>
          <w:tcPr>
            <w:tcW w:w="900" w:type="dxa"/>
            <w:gridSpan w:val="2"/>
            <w:tcBorders>
              <w:top w:val="nil"/>
              <w:left w:val="nil"/>
              <w:bottom w:val="single" w:color="auto" w:sz="4" w:space="0"/>
              <w:right w:val="single" w:color="auto" w:sz="4" w:space="0"/>
            </w:tcBorders>
            <w:shd w:val="clear" w:color="auto" w:fill="auto"/>
            <w:noWrap/>
            <w:vAlign w:val="top"/>
          </w:tcPr>
          <w:p>
            <w:pPr>
              <w:widowControl/>
              <w:jc w:val="righ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w:t>
            </w:r>
          </w:p>
        </w:tc>
        <w:tc>
          <w:tcPr>
            <w:tcW w:w="121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31006</w:t>
            </w:r>
          </w:p>
        </w:tc>
        <w:tc>
          <w:tcPr>
            <w:tcW w:w="3837" w:type="dxa"/>
            <w:gridSpan w:val="3"/>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大型修缮</w:t>
            </w:r>
          </w:p>
        </w:tc>
        <w:tc>
          <w:tcPr>
            <w:tcW w:w="95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w:t>
            </w:r>
          </w:p>
        </w:tc>
      </w:tr>
      <w:tr>
        <w:tblPrEx>
          <w:tblCellMar>
            <w:top w:w="0" w:type="dxa"/>
            <w:left w:w="108" w:type="dxa"/>
            <w:bottom w:w="0" w:type="dxa"/>
            <w:right w:w="108" w:type="dxa"/>
          </w:tblCellMar>
        </w:tblPrEx>
        <w:trPr>
          <w:trHeight w:val="284" w:hRule="exact"/>
        </w:trPr>
        <w:tc>
          <w:tcPr>
            <w:tcW w:w="907"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30111</w:t>
            </w:r>
          </w:p>
        </w:tc>
        <w:tc>
          <w:tcPr>
            <w:tcW w:w="3315" w:type="dxa"/>
            <w:gridSpan w:val="4"/>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公务员医疗补助缴费</w:t>
            </w:r>
          </w:p>
        </w:tc>
        <w:tc>
          <w:tcPr>
            <w:tcW w:w="1090" w:type="dxa"/>
            <w:gridSpan w:val="2"/>
            <w:tcBorders>
              <w:top w:val="nil"/>
              <w:left w:val="nil"/>
              <w:bottom w:val="single" w:color="auto" w:sz="4" w:space="0"/>
              <w:right w:val="single" w:color="auto" w:sz="4" w:space="0"/>
            </w:tcBorders>
            <w:shd w:val="clear" w:color="auto" w:fill="auto"/>
            <w:noWrap/>
            <w:vAlign w:val="top"/>
          </w:tcPr>
          <w:p>
            <w:pPr>
              <w:widowControl/>
              <w:jc w:val="right"/>
              <w:rPr>
                <w:rFonts w:hint="eastAsia" w:asciiTheme="minorEastAsia" w:hAnsiTheme="minorEastAsia" w:eastAsiaTheme="minorEastAsia" w:cstheme="minorEastAsia"/>
                <w:color w:val="000000"/>
                <w:kern w:val="0"/>
                <w:sz w:val="21"/>
                <w:szCs w:val="21"/>
                <w:lang w:val="en-US" w:eastAsia="zh-CN"/>
              </w:rPr>
            </w:pPr>
            <w:r>
              <w:rPr>
                <w:rFonts w:hint="eastAsia" w:asciiTheme="minorEastAsia" w:hAnsiTheme="minorEastAsia" w:eastAsiaTheme="minorEastAsia" w:cstheme="minorEastAsia"/>
                <w:color w:val="000000"/>
                <w:kern w:val="0"/>
                <w:sz w:val="21"/>
                <w:szCs w:val="21"/>
              </w:rPr>
              <w:t>　</w:t>
            </w:r>
            <w:r>
              <w:rPr>
                <w:rFonts w:hint="eastAsia" w:asciiTheme="minorEastAsia" w:hAnsiTheme="minorEastAsia" w:eastAsiaTheme="minorEastAsia" w:cstheme="minorEastAsia"/>
                <w:color w:val="000000"/>
                <w:kern w:val="0"/>
                <w:sz w:val="21"/>
                <w:szCs w:val="21"/>
                <w:lang w:val="en-US" w:eastAsia="zh-CN"/>
              </w:rPr>
              <w:t>17.25</w:t>
            </w:r>
          </w:p>
        </w:tc>
        <w:tc>
          <w:tcPr>
            <w:tcW w:w="95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30209</w:t>
            </w:r>
          </w:p>
        </w:tc>
        <w:tc>
          <w:tcPr>
            <w:tcW w:w="2285"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物业管理费</w:t>
            </w:r>
          </w:p>
        </w:tc>
        <w:tc>
          <w:tcPr>
            <w:tcW w:w="900" w:type="dxa"/>
            <w:gridSpan w:val="2"/>
            <w:tcBorders>
              <w:top w:val="nil"/>
              <w:left w:val="nil"/>
              <w:bottom w:val="single" w:color="auto" w:sz="4" w:space="0"/>
              <w:right w:val="single" w:color="auto" w:sz="4" w:space="0"/>
            </w:tcBorders>
            <w:shd w:val="clear" w:color="auto" w:fill="auto"/>
            <w:noWrap/>
            <w:vAlign w:val="top"/>
          </w:tcPr>
          <w:p>
            <w:pPr>
              <w:widowControl/>
              <w:jc w:val="righ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w:t>
            </w:r>
          </w:p>
        </w:tc>
        <w:tc>
          <w:tcPr>
            <w:tcW w:w="121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31007</w:t>
            </w:r>
          </w:p>
        </w:tc>
        <w:tc>
          <w:tcPr>
            <w:tcW w:w="3837" w:type="dxa"/>
            <w:gridSpan w:val="3"/>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信息网络及软件购置更新</w:t>
            </w:r>
          </w:p>
        </w:tc>
        <w:tc>
          <w:tcPr>
            <w:tcW w:w="95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w:t>
            </w:r>
          </w:p>
        </w:tc>
      </w:tr>
      <w:tr>
        <w:tblPrEx>
          <w:tblCellMar>
            <w:top w:w="0" w:type="dxa"/>
            <w:left w:w="108" w:type="dxa"/>
            <w:bottom w:w="0" w:type="dxa"/>
            <w:right w:w="108" w:type="dxa"/>
          </w:tblCellMar>
        </w:tblPrEx>
        <w:trPr>
          <w:trHeight w:val="284" w:hRule="exact"/>
        </w:trPr>
        <w:tc>
          <w:tcPr>
            <w:tcW w:w="907"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30112</w:t>
            </w:r>
          </w:p>
        </w:tc>
        <w:tc>
          <w:tcPr>
            <w:tcW w:w="3315" w:type="dxa"/>
            <w:gridSpan w:val="4"/>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其他社会保障缴费</w:t>
            </w:r>
          </w:p>
        </w:tc>
        <w:tc>
          <w:tcPr>
            <w:tcW w:w="1090" w:type="dxa"/>
            <w:gridSpan w:val="2"/>
            <w:tcBorders>
              <w:top w:val="nil"/>
              <w:left w:val="nil"/>
              <w:bottom w:val="single" w:color="auto" w:sz="4" w:space="0"/>
              <w:right w:val="single" w:color="auto" w:sz="4" w:space="0"/>
            </w:tcBorders>
            <w:shd w:val="clear" w:color="auto" w:fill="auto"/>
            <w:noWrap/>
            <w:vAlign w:val="top"/>
          </w:tcPr>
          <w:p>
            <w:pPr>
              <w:widowControl/>
              <w:jc w:val="right"/>
              <w:rPr>
                <w:rFonts w:hint="default" w:asciiTheme="minorEastAsia" w:hAnsiTheme="minorEastAsia" w:eastAsiaTheme="minorEastAsia" w:cstheme="minorEastAsia"/>
                <w:color w:val="000000"/>
                <w:kern w:val="0"/>
                <w:sz w:val="21"/>
                <w:szCs w:val="21"/>
                <w:lang w:val="en-US" w:eastAsia="zh-CN"/>
              </w:rPr>
            </w:pPr>
            <w:r>
              <w:rPr>
                <w:rFonts w:hint="eastAsia" w:asciiTheme="minorEastAsia" w:hAnsiTheme="minorEastAsia" w:eastAsiaTheme="minorEastAsia" w:cstheme="minorEastAsia"/>
                <w:color w:val="000000"/>
                <w:kern w:val="0"/>
                <w:sz w:val="21"/>
                <w:szCs w:val="21"/>
                <w:lang w:val="en-US" w:eastAsia="zh-CN"/>
              </w:rPr>
              <w:t>1.6</w:t>
            </w:r>
            <w:r>
              <w:rPr>
                <w:rFonts w:hint="eastAsia" w:asciiTheme="minorEastAsia" w:hAnsiTheme="minorEastAsia" w:cstheme="minorEastAsia"/>
                <w:color w:val="000000"/>
                <w:kern w:val="0"/>
                <w:sz w:val="21"/>
                <w:szCs w:val="21"/>
                <w:lang w:val="en-US" w:eastAsia="zh-CN"/>
              </w:rPr>
              <w:t>0</w:t>
            </w:r>
          </w:p>
        </w:tc>
        <w:tc>
          <w:tcPr>
            <w:tcW w:w="95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30211</w:t>
            </w:r>
          </w:p>
        </w:tc>
        <w:tc>
          <w:tcPr>
            <w:tcW w:w="2285"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差旅费</w:t>
            </w:r>
          </w:p>
        </w:tc>
        <w:tc>
          <w:tcPr>
            <w:tcW w:w="900" w:type="dxa"/>
            <w:gridSpan w:val="2"/>
            <w:tcBorders>
              <w:top w:val="nil"/>
              <w:left w:val="nil"/>
              <w:bottom w:val="single" w:color="auto" w:sz="4" w:space="0"/>
              <w:right w:val="single" w:color="auto" w:sz="4" w:space="0"/>
            </w:tcBorders>
            <w:shd w:val="clear" w:color="auto" w:fill="auto"/>
            <w:noWrap/>
            <w:vAlign w:val="top"/>
          </w:tcPr>
          <w:p>
            <w:pPr>
              <w:widowControl/>
              <w:jc w:val="right"/>
              <w:rPr>
                <w:rFonts w:hint="eastAsia" w:asciiTheme="minorEastAsia" w:hAnsiTheme="minorEastAsia" w:eastAsiaTheme="minorEastAsia" w:cstheme="minorEastAsia"/>
                <w:color w:val="000000"/>
                <w:kern w:val="0"/>
                <w:sz w:val="21"/>
                <w:szCs w:val="21"/>
                <w:lang w:val="en-US" w:eastAsia="zh-CN"/>
              </w:rPr>
            </w:pPr>
          </w:p>
        </w:tc>
        <w:tc>
          <w:tcPr>
            <w:tcW w:w="121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31008</w:t>
            </w:r>
          </w:p>
        </w:tc>
        <w:tc>
          <w:tcPr>
            <w:tcW w:w="3837" w:type="dxa"/>
            <w:gridSpan w:val="3"/>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物资储备</w:t>
            </w:r>
          </w:p>
        </w:tc>
        <w:tc>
          <w:tcPr>
            <w:tcW w:w="95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w:t>
            </w:r>
          </w:p>
        </w:tc>
      </w:tr>
      <w:tr>
        <w:tblPrEx>
          <w:tblCellMar>
            <w:top w:w="0" w:type="dxa"/>
            <w:left w:w="108" w:type="dxa"/>
            <w:bottom w:w="0" w:type="dxa"/>
            <w:right w:w="108" w:type="dxa"/>
          </w:tblCellMar>
        </w:tblPrEx>
        <w:trPr>
          <w:trHeight w:val="284" w:hRule="exact"/>
        </w:trPr>
        <w:tc>
          <w:tcPr>
            <w:tcW w:w="907"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30113</w:t>
            </w:r>
          </w:p>
        </w:tc>
        <w:tc>
          <w:tcPr>
            <w:tcW w:w="3315" w:type="dxa"/>
            <w:gridSpan w:val="4"/>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住房公积金</w:t>
            </w:r>
          </w:p>
        </w:tc>
        <w:tc>
          <w:tcPr>
            <w:tcW w:w="1090" w:type="dxa"/>
            <w:gridSpan w:val="2"/>
            <w:tcBorders>
              <w:top w:val="nil"/>
              <w:left w:val="nil"/>
              <w:bottom w:val="single" w:color="auto" w:sz="4" w:space="0"/>
              <w:right w:val="single" w:color="auto" w:sz="4" w:space="0"/>
            </w:tcBorders>
            <w:shd w:val="clear" w:color="auto" w:fill="auto"/>
            <w:noWrap/>
            <w:vAlign w:val="top"/>
          </w:tcPr>
          <w:p>
            <w:pPr>
              <w:widowControl/>
              <w:jc w:val="right"/>
              <w:rPr>
                <w:rFonts w:hint="eastAsia" w:asciiTheme="minorEastAsia" w:hAnsiTheme="minorEastAsia" w:eastAsiaTheme="minorEastAsia" w:cstheme="minorEastAsia"/>
                <w:color w:val="000000"/>
                <w:kern w:val="0"/>
                <w:sz w:val="21"/>
                <w:szCs w:val="21"/>
                <w:lang w:val="en-US" w:eastAsia="zh-CN"/>
              </w:rPr>
            </w:pPr>
            <w:r>
              <w:rPr>
                <w:rFonts w:hint="eastAsia" w:asciiTheme="minorEastAsia" w:hAnsiTheme="minorEastAsia" w:eastAsiaTheme="minorEastAsia" w:cstheme="minorEastAsia"/>
                <w:color w:val="000000"/>
                <w:kern w:val="0"/>
                <w:sz w:val="21"/>
                <w:szCs w:val="21"/>
                <w:lang w:val="en-US" w:eastAsia="zh-CN"/>
              </w:rPr>
              <w:t>31.11</w:t>
            </w:r>
          </w:p>
        </w:tc>
        <w:tc>
          <w:tcPr>
            <w:tcW w:w="95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30212</w:t>
            </w:r>
          </w:p>
        </w:tc>
        <w:tc>
          <w:tcPr>
            <w:tcW w:w="2285"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因公出国（境）费用</w:t>
            </w:r>
          </w:p>
        </w:tc>
        <w:tc>
          <w:tcPr>
            <w:tcW w:w="900" w:type="dxa"/>
            <w:gridSpan w:val="2"/>
            <w:tcBorders>
              <w:top w:val="nil"/>
              <w:left w:val="nil"/>
              <w:bottom w:val="single" w:color="auto" w:sz="4" w:space="0"/>
              <w:right w:val="single" w:color="auto" w:sz="4" w:space="0"/>
            </w:tcBorders>
            <w:shd w:val="clear" w:color="auto" w:fill="auto"/>
            <w:noWrap/>
            <w:vAlign w:val="top"/>
          </w:tcPr>
          <w:p>
            <w:pPr>
              <w:widowControl/>
              <w:jc w:val="righ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w:t>
            </w:r>
          </w:p>
        </w:tc>
        <w:tc>
          <w:tcPr>
            <w:tcW w:w="121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31009</w:t>
            </w:r>
          </w:p>
        </w:tc>
        <w:tc>
          <w:tcPr>
            <w:tcW w:w="3837" w:type="dxa"/>
            <w:gridSpan w:val="3"/>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土地补偿</w:t>
            </w:r>
          </w:p>
        </w:tc>
        <w:tc>
          <w:tcPr>
            <w:tcW w:w="95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w:t>
            </w:r>
          </w:p>
        </w:tc>
      </w:tr>
      <w:tr>
        <w:tblPrEx>
          <w:tblCellMar>
            <w:top w:w="0" w:type="dxa"/>
            <w:left w:w="108" w:type="dxa"/>
            <w:bottom w:w="0" w:type="dxa"/>
            <w:right w:w="108" w:type="dxa"/>
          </w:tblCellMar>
        </w:tblPrEx>
        <w:trPr>
          <w:trHeight w:val="284" w:hRule="exact"/>
        </w:trPr>
        <w:tc>
          <w:tcPr>
            <w:tcW w:w="907"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30114</w:t>
            </w:r>
          </w:p>
        </w:tc>
        <w:tc>
          <w:tcPr>
            <w:tcW w:w="3315" w:type="dxa"/>
            <w:gridSpan w:val="4"/>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医疗费</w:t>
            </w:r>
          </w:p>
        </w:tc>
        <w:tc>
          <w:tcPr>
            <w:tcW w:w="1090" w:type="dxa"/>
            <w:gridSpan w:val="2"/>
            <w:tcBorders>
              <w:top w:val="nil"/>
              <w:left w:val="nil"/>
              <w:bottom w:val="single" w:color="auto" w:sz="4" w:space="0"/>
              <w:right w:val="single" w:color="auto" w:sz="4" w:space="0"/>
            </w:tcBorders>
            <w:shd w:val="clear" w:color="auto" w:fill="auto"/>
            <w:noWrap/>
            <w:vAlign w:val="top"/>
          </w:tcPr>
          <w:p>
            <w:pPr>
              <w:widowControl/>
              <w:jc w:val="righ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w:t>
            </w:r>
          </w:p>
        </w:tc>
        <w:tc>
          <w:tcPr>
            <w:tcW w:w="95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30213</w:t>
            </w:r>
          </w:p>
        </w:tc>
        <w:tc>
          <w:tcPr>
            <w:tcW w:w="2285"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维修（护）费</w:t>
            </w:r>
          </w:p>
        </w:tc>
        <w:tc>
          <w:tcPr>
            <w:tcW w:w="900" w:type="dxa"/>
            <w:gridSpan w:val="2"/>
            <w:tcBorders>
              <w:top w:val="nil"/>
              <w:left w:val="nil"/>
              <w:bottom w:val="single" w:color="auto" w:sz="4" w:space="0"/>
              <w:right w:val="single" w:color="auto" w:sz="4" w:space="0"/>
            </w:tcBorders>
            <w:shd w:val="clear" w:color="auto" w:fill="auto"/>
            <w:noWrap/>
            <w:vAlign w:val="top"/>
          </w:tcPr>
          <w:p>
            <w:pPr>
              <w:widowControl/>
              <w:jc w:val="right"/>
              <w:rPr>
                <w:rFonts w:hint="eastAsia" w:asciiTheme="minorEastAsia" w:hAnsiTheme="minorEastAsia" w:eastAsiaTheme="minorEastAsia" w:cstheme="minorEastAsia"/>
                <w:color w:val="000000"/>
                <w:kern w:val="0"/>
                <w:sz w:val="21"/>
                <w:szCs w:val="21"/>
                <w:lang w:val="en-US" w:eastAsia="zh-CN"/>
              </w:rPr>
            </w:pPr>
          </w:p>
        </w:tc>
        <w:tc>
          <w:tcPr>
            <w:tcW w:w="121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31010</w:t>
            </w:r>
          </w:p>
        </w:tc>
        <w:tc>
          <w:tcPr>
            <w:tcW w:w="3837" w:type="dxa"/>
            <w:gridSpan w:val="3"/>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安置补助</w:t>
            </w:r>
          </w:p>
        </w:tc>
        <w:tc>
          <w:tcPr>
            <w:tcW w:w="95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w:t>
            </w:r>
          </w:p>
        </w:tc>
      </w:tr>
      <w:tr>
        <w:tblPrEx>
          <w:tblCellMar>
            <w:top w:w="0" w:type="dxa"/>
            <w:left w:w="108" w:type="dxa"/>
            <w:bottom w:w="0" w:type="dxa"/>
            <w:right w:w="108" w:type="dxa"/>
          </w:tblCellMar>
        </w:tblPrEx>
        <w:trPr>
          <w:trHeight w:val="284" w:hRule="exact"/>
        </w:trPr>
        <w:tc>
          <w:tcPr>
            <w:tcW w:w="907"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30199</w:t>
            </w:r>
          </w:p>
        </w:tc>
        <w:tc>
          <w:tcPr>
            <w:tcW w:w="3315" w:type="dxa"/>
            <w:gridSpan w:val="4"/>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其他工资福利支出</w:t>
            </w:r>
          </w:p>
        </w:tc>
        <w:tc>
          <w:tcPr>
            <w:tcW w:w="1090" w:type="dxa"/>
            <w:gridSpan w:val="2"/>
            <w:tcBorders>
              <w:top w:val="nil"/>
              <w:left w:val="nil"/>
              <w:bottom w:val="single" w:color="auto" w:sz="4" w:space="0"/>
              <w:right w:val="single" w:color="auto" w:sz="4" w:space="0"/>
            </w:tcBorders>
            <w:shd w:val="clear" w:color="auto" w:fill="auto"/>
            <w:noWrap/>
            <w:vAlign w:val="top"/>
          </w:tcPr>
          <w:p>
            <w:pPr>
              <w:widowControl/>
              <w:jc w:val="righ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lang w:val="en-US" w:eastAsia="zh-CN"/>
              </w:rPr>
              <w:t>0.55</w:t>
            </w:r>
            <w:r>
              <w:rPr>
                <w:rFonts w:hint="eastAsia" w:asciiTheme="minorEastAsia" w:hAnsiTheme="minorEastAsia" w:eastAsiaTheme="minorEastAsia" w:cstheme="minorEastAsia"/>
                <w:color w:val="000000"/>
                <w:kern w:val="0"/>
                <w:sz w:val="21"/>
                <w:szCs w:val="21"/>
              </w:rPr>
              <w:t>　</w:t>
            </w:r>
          </w:p>
        </w:tc>
        <w:tc>
          <w:tcPr>
            <w:tcW w:w="95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30214</w:t>
            </w:r>
          </w:p>
        </w:tc>
        <w:tc>
          <w:tcPr>
            <w:tcW w:w="2285"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租赁费</w:t>
            </w:r>
          </w:p>
        </w:tc>
        <w:tc>
          <w:tcPr>
            <w:tcW w:w="900" w:type="dxa"/>
            <w:gridSpan w:val="2"/>
            <w:tcBorders>
              <w:top w:val="nil"/>
              <w:left w:val="nil"/>
              <w:bottom w:val="single" w:color="auto" w:sz="4" w:space="0"/>
              <w:right w:val="single" w:color="auto" w:sz="4" w:space="0"/>
            </w:tcBorders>
            <w:shd w:val="clear" w:color="auto" w:fill="auto"/>
            <w:noWrap/>
            <w:vAlign w:val="top"/>
          </w:tcPr>
          <w:p>
            <w:pPr>
              <w:widowControl/>
              <w:jc w:val="righ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w:t>
            </w:r>
          </w:p>
        </w:tc>
        <w:tc>
          <w:tcPr>
            <w:tcW w:w="121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31011</w:t>
            </w:r>
          </w:p>
        </w:tc>
        <w:tc>
          <w:tcPr>
            <w:tcW w:w="3837" w:type="dxa"/>
            <w:gridSpan w:val="3"/>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地上附着物和青苗补偿</w:t>
            </w:r>
          </w:p>
        </w:tc>
        <w:tc>
          <w:tcPr>
            <w:tcW w:w="95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w:t>
            </w:r>
          </w:p>
        </w:tc>
      </w:tr>
      <w:tr>
        <w:tblPrEx>
          <w:tblCellMar>
            <w:top w:w="0" w:type="dxa"/>
            <w:left w:w="108" w:type="dxa"/>
            <w:bottom w:w="0" w:type="dxa"/>
            <w:right w:w="108" w:type="dxa"/>
          </w:tblCellMar>
        </w:tblPrEx>
        <w:trPr>
          <w:trHeight w:val="284" w:hRule="exact"/>
        </w:trPr>
        <w:tc>
          <w:tcPr>
            <w:tcW w:w="907"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303</w:t>
            </w:r>
          </w:p>
        </w:tc>
        <w:tc>
          <w:tcPr>
            <w:tcW w:w="3315" w:type="dxa"/>
            <w:gridSpan w:val="4"/>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对个人和家庭的补助</w:t>
            </w:r>
          </w:p>
        </w:tc>
        <w:tc>
          <w:tcPr>
            <w:tcW w:w="1090" w:type="dxa"/>
            <w:gridSpan w:val="2"/>
            <w:tcBorders>
              <w:top w:val="nil"/>
              <w:left w:val="nil"/>
              <w:bottom w:val="single" w:color="auto" w:sz="4" w:space="0"/>
              <w:right w:val="single" w:color="auto" w:sz="4" w:space="0"/>
            </w:tcBorders>
            <w:shd w:val="clear" w:color="auto" w:fill="auto"/>
            <w:noWrap/>
            <w:vAlign w:val="top"/>
          </w:tcPr>
          <w:p>
            <w:pPr>
              <w:widowControl/>
              <w:jc w:val="right"/>
              <w:rPr>
                <w:rFonts w:hint="eastAsia" w:asciiTheme="minorEastAsia" w:hAnsiTheme="minorEastAsia" w:eastAsiaTheme="minorEastAsia" w:cstheme="minorEastAsia"/>
                <w:color w:val="000000"/>
                <w:kern w:val="0"/>
                <w:sz w:val="21"/>
                <w:szCs w:val="21"/>
                <w:lang w:val="en-US" w:eastAsia="zh-CN"/>
              </w:rPr>
            </w:pPr>
            <w:r>
              <w:rPr>
                <w:rFonts w:hint="eastAsia" w:asciiTheme="minorEastAsia" w:hAnsiTheme="minorEastAsia" w:eastAsiaTheme="minorEastAsia" w:cstheme="minorEastAsia"/>
                <w:color w:val="000000"/>
                <w:kern w:val="0"/>
                <w:sz w:val="21"/>
                <w:szCs w:val="21"/>
              </w:rPr>
              <w:t>　</w:t>
            </w:r>
            <w:r>
              <w:rPr>
                <w:rFonts w:hint="eastAsia" w:asciiTheme="minorEastAsia" w:hAnsiTheme="minorEastAsia" w:eastAsiaTheme="minorEastAsia" w:cstheme="minorEastAsia"/>
                <w:color w:val="000000"/>
                <w:kern w:val="0"/>
                <w:sz w:val="21"/>
                <w:szCs w:val="21"/>
                <w:lang w:val="en-US" w:eastAsia="zh-CN"/>
              </w:rPr>
              <w:t>31.16</w:t>
            </w:r>
          </w:p>
        </w:tc>
        <w:tc>
          <w:tcPr>
            <w:tcW w:w="95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30215</w:t>
            </w:r>
          </w:p>
        </w:tc>
        <w:tc>
          <w:tcPr>
            <w:tcW w:w="2285"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会议费</w:t>
            </w:r>
          </w:p>
        </w:tc>
        <w:tc>
          <w:tcPr>
            <w:tcW w:w="900" w:type="dxa"/>
            <w:gridSpan w:val="2"/>
            <w:tcBorders>
              <w:top w:val="nil"/>
              <w:left w:val="nil"/>
              <w:bottom w:val="single" w:color="auto" w:sz="4" w:space="0"/>
              <w:right w:val="single" w:color="auto" w:sz="4" w:space="0"/>
            </w:tcBorders>
            <w:shd w:val="clear" w:color="auto" w:fill="auto"/>
            <w:noWrap/>
            <w:vAlign w:val="top"/>
          </w:tcPr>
          <w:p>
            <w:pPr>
              <w:widowControl/>
              <w:jc w:val="righ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w:t>
            </w:r>
          </w:p>
        </w:tc>
        <w:tc>
          <w:tcPr>
            <w:tcW w:w="121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31012</w:t>
            </w:r>
          </w:p>
        </w:tc>
        <w:tc>
          <w:tcPr>
            <w:tcW w:w="3837" w:type="dxa"/>
            <w:gridSpan w:val="3"/>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拆迁补偿</w:t>
            </w:r>
          </w:p>
        </w:tc>
        <w:tc>
          <w:tcPr>
            <w:tcW w:w="95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w:t>
            </w:r>
          </w:p>
        </w:tc>
      </w:tr>
      <w:tr>
        <w:tblPrEx>
          <w:tblCellMar>
            <w:top w:w="0" w:type="dxa"/>
            <w:left w:w="108" w:type="dxa"/>
            <w:bottom w:w="0" w:type="dxa"/>
            <w:right w:w="108" w:type="dxa"/>
          </w:tblCellMar>
        </w:tblPrEx>
        <w:trPr>
          <w:trHeight w:val="284" w:hRule="exact"/>
        </w:trPr>
        <w:tc>
          <w:tcPr>
            <w:tcW w:w="907"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30301</w:t>
            </w:r>
          </w:p>
        </w:tc>
        <w:tc>
          <w:tcPr>
            <w:tcW w:w="3315" w:type="dxa"/>
            <w:gridSpan w:val="4"/>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离休费</w:t>
            </w:r>
          </w:p>
        </w:tc>
        <w:tc>
          <w:tcPr>
            <w:tcW w:w="1090" w:type="dxa"/>
            <w:gridSpan w:val="2"/>
            <w:tcBorders>
              <w:top w:val="nil"/>
              <w:left w:val="nil"/>
              <w:bottom w:val="single" w:color="auto" w:sz="4" w:space="0"/>
              <w:right w:val="single" w:color="auto" w:sz="4" w:space="0"/>
            </w:tcBorders>
            <w:shd w:val="clear" w:color="auto" w:fill="auto"/>
            <w:noWrap/>
            <w:vAlign w:val="top"/>
          </w:tcPr>
          <w:p>
            <w:pPr>
              <w:widowControl/>
              <w:jc w:val="righ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w:t>
            </w:r>
          </w:p>
        </w:tc>
        <w:tc>
          <w:tcPr>
            <w:tcW w:w="95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30216</w:t>
            </w:r>
          </w:p>
        </w:tc>
        <w:tc>
          <w:tcPr>
            <w:tcW w:w="2285"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培训费</w:t>
            </w:r>
          </w:p>
        </w:tc>
        <w:tc>
          <w:tcPr>
            <w:tcW w:w="900" w:type="dxa"/>
            <w:gridSpan w:val="2"/>
            <w:tcBorders>
              <w:top w:val="nil"/>
              <w:left w:val="nil"/>
              <w:bottom w:val="single" w:color="auto" w:sz="4" w:space="0"/>
              <w:right w:val="single" w:color="auto" w:sz="4" w:space="0"/>
            </w:tcBorders>
            <w:shd w:val="clear" w:color="auto" w:fill="auto"/>
            <w:noWrap/>
            <w:vAlign w:val="top"/>
          </w:tcPr>
          <w:p>
            <w:pPr>
              <w:widowControl/>
              <w:jc w:val="righ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w:t>
            </w:r>
          </w:p>
        </w:tc>
        <w:tc>
          <w:tcPr>
            <w:tcW w:w="121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31013</w:t>
            </w:r>
          </w:p>
        </w:tc>
        <w:tc>
          <w:tcPr>
            <w:tcW w:w="3837" w:type="dxa"/>
            <w:gridSpan w:val="3"/>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公务用车购置</w:t>
            </w:r>
          </w:p>
        </w:tc>
        <w:tc>
          <w:tcPr>
            <w:tcW w:w="95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w:t>
            </w:r>
          </w:p>
        </w:tc>
      </w:tr>
      <w:tr>
        <w:tblPrEx>
          <w:tblCellMar>
            <w:top w:w="0" w:type="dxa"/>
            <w:left w:w="108" w:type="dxa"/>
            <w:bottom w:w="0" w:type="dxa"/>
            <w:right w:w="108" w:type="dxa"/>
          </w:tblCellMar>
        </w:tblPrEx>
        <w:trPr>
          <w:trHeight w:val="284" w:hRule="exact"/>
        </w:trPr>
        <w:tc>
          <w:tcPr>
            <w:tcW w:w="907"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30302</w:t>
            </w:r>
          </w:p>
        </w:tc>
        <w:tc>
          <w:tcPr>
            <w:tcW w:w="3315" w:type="dxa"/>
            <w:gridSpan w:val="4"/>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退休费</w:t>
            </w:r>
          </w:p>
        </w:tc>
        <w:tc>
          <w:tcPr>
            <w:tcW w:w="1090" w:type="dxa"/>
            <w:gridSpan w:val="2"/>
            <w:tcBorders>
              <w:top w:val="nil"/>
              <w:left w:val="nil"/>
              <w:bottom w:val="single" w:color="auto" w:sz="4" w:space="0"/>
              <w:right w:val="single" w:color="auto" w:sz="4" w:space="0"/>
            </w:tcBorders>
            <w:shd w:val="clear" w:color="auto" w:fill="auto"/>
            <w:noWrap/>
            <w:vAlign w:val="top"/>
          </w:tcPr>
          <w:p>
            <w:pPr>
              <w:widowControl/>
              <w:jc w:val="righ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w:t>
            </w:r>
          </w:p>
        </w:tc>
        <w:tc>
          <w:tcPr>
            <w:tcW w:w="95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30217</w:t>
            </w:r>
          </w:p>
        </w:tc>
        <w:tc>
          <w:tcPr>
            <w:tcW w:w="2285"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公务接待费</w:t>
            </w:r>
          </w:p>
        </w:tc>
        <w:tc>
          <w:tcPr>
            <w:tcW w:w="900" w:type="dxa"/>
            <w:gridSpan w:val="2"/>
            <w:tcBorders>
              <w:top w:val="nil"/>
              <w:left w:val="nil"/>
              <w:bottom w:val="single" w:color="auto" w:sz="4" w:space="0"/>
              <w:right w:val="single" w:color="auto" w:sz="4" w:space="0"/>
            </w:tcBorders>
            <w:shd w:val="clear" w:color="auto" w:fill="auto"/>
            <w:noWrap/>
            <w:vAlign w:val="top"/>
          </w:tcPr>
          <w:p>
            <w:pPr>
              <w:widowControl/>
              <w:jc w:val="right"/>
              <w:rPr>
                <w:rFonts w:hint="eastAsia" w:asciiTheme="minorEastAsia" w:hAnsiTheme="minorEastAsia" w:eastAsiaTheme="minorEastAsia" w:cstheme="minorEastAsia"/>
                <w:color w:val="000000"/>
                <w:kern w:val="0"/>
                <w:sz w:val="21"/>
                <w:szCs w:val="21"/>
                <w:lang w:val="en-US" w:eastAsia="zh-CN"/>
              </w:rPr>
            </w:pPr>
          </w:p>
        </w:tc>
        <w:tc>
          <w:tcPr>
            <w:tcW w:w="121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31019</w:t>
            </w:r>
          </w:p>
        </w:tc>
        <w:tc>
          <w:tcPr>
            <w:tcW w:w="3837" w:type="dxa"/>
            <w:gridSpan w:val="3"/>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其他交通工具购置</w:t>
            </w:r>
          </w:p>
        </w:tc>
        <w:tc>
          <w:tcPr>
            <w:tcW w:w="95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w:t>
            </w:r>
          </w:p>
        </w:tc>
      </w:tr>
      <w:tr>
        <w:tblPrEx>
          <w:tblCellMar>
            <w:top w:w="0" w:type="dxa"/>
            <w:left w:w="108" w:type="dxa"/>
            <w:bottom w:w="0" w:type="dxa"/>
            <w:right w:w="108" w:type="dxa"/>
          </w:tblCellMar>
        </w:tblPrEx>
        <w:trPr>
          <w:trHeight w:val="284" w:hRule="exact"/>
        </w:trPr>
        <w:tc>
          <w:tcPr>
            <w:tcW w:w="907"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30303</w:t>
            </w:r>
          </w:p>
        </w:tc>
        <w:tc>
          <w:tcPr>
            <w:tcW w:w="3315" w:type="dxa"/>
            <w:gridSpan w:val="4"/>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退职（役）费</w:t>
            </w:r>
          </w:p>
        </w:tc>
        <w:tc>
          <w:tcPr>
            <w:tcW w:w="1090" w:type="dxa"/>
            <w:gridSpan w:val="2"/>
            <w:tcBorders>
              <w:top w:val="nil"/>
              <w:left w:val="nil"/>
              <w:bottom w:val="single" w:color="auto" w:sz="4" w:space="0"/>
              <w:right w:val="single" w:color="auto" w:sz="4" w:space="0"/>
            </w:tcBorders>
            <w:shd w:val="clear" w:color="auto" w:fill="auto"/>
            <w:noWrap/>
            <w:vAlign w:val="top"/>
          </w:tcPr>
          <w:p>
            <w:pPr>
              <w:widowControl/>
              <w:jc w:val="righ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w:t>
            </w:r>
          </w:p>
        </w:tc>
        <w:tc>
          <w:tcPr>
            <w:tcW w:w="95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30218</w:t>
            </w:r>
          </w:p>
        </w:tc>
        <w:tc>
          <w:tcPr>
            <w:tcW w:w="2285"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专用材料费</w:t>
            </w:r>
          </w:p>
        </w:tc>
        <w:tc>
          <w:tcPr>
            <w:tcW w:w="900" w:type="dxa"/>
            <w:gridSpan w:val="2"/>
            <w:tcBorders>
              <w:top w:val="nil"/>
              <w:left w:val="nil"/>
              <w:bottom w:val="single" w:color="auto" w:sz="4" w:space="0"/>
              <w:right w:val="single" w:color="auto" w:sz="4" w:space="0"/>
            </w:tcBorders>
            <w:shd w:val="clear" w:color="auto" w:fill="auto"/>
            <w:noWrap/>
            <w:vAlign w:val="top"/>
          </w:tcPr>
          <w:p>
            <w:pPr>
              <w:widowControl/>
              <w:jc w:val="righ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w:t>
            </w:r>
          </w:p>
        </w:tc>
        <w:tc>
          <w:tcPr>
            <w:tcW w:w="121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31021</w:t>
            </w:r>
          </w:p>
        </w:tc>
        <w:tc>
          <w:tcPr>
            <w:tcW w:w="3837" w:type="dxa"/>
            <w:gridSpan w:val="3"/>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文物和陈列品购置</w:t>
            </w:r>
          </w:p>
        </w:tc>
        <w:tc>
          <w:tcPr>
            <w:tcW w:w="95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w:t>
            </w:r>
          </w:p>
        </w:tc>
      </w:tr>
      <w:tr>
        <w:tblPrEx>
          <w:tblCellMar>
            <w:top w:w="0" w:type="dxa"/>
            <w:left w:w="108" w:type="dxa"/>
            <w:bottom w:w="0" w:type="dxa"/>
            <w:right w:w="108" w:type="dxa"/>
          </w:tblCellMar>
        </w:tblPrEx>
        <w:trPr>
          <w:trHeight w:val="284" w:hRule="exact"/>
        </w:trPr>
        <w:tc>
          <w:tcPr>
            <w:tcW w:w="907"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30304</w:t>
            </w:r>
          </w:p>
        </w:tc>
        <w:tc>
          <w:tcPr>
            <w:tcW w:w="3315" w:type="dxa"/>
            <w:gridSpan w:val="4"/>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抚恤金</w:t>
            </w:r>
          </w:p>
        </w:tc>
        <w:tc>
          <w:tcPr>
            <w:tcW w:w="1090" w:type="dxa"/>
            <w:gridSpan w:val="2"/>
            <w:tcBorders>
              <w:top w:val="nil"/>
              <w:left w:val="nil"/>
              <w:bottom w:val="single" w:color="auto" w:sz="4" w:space="0"/>
              <w:right w:val="single" w:color="auto" w:sz="4" w:space="0"/>
            </w:tcBorders>
            <w:shd w:val="clear" w:color="auto" w:fill="auto"/>
            <w:noWrap/>
            <w:vAlign w:val="top"/>
          </w:tcPr>
          <w:p>
            <w:pPr>
              <w:widowControl/>
              <w:jc w:val="righ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w:t>
            </w:r>
          </w:p>
        </w:tc>
        <w:tc>
          <w:tcPr>
            <w:tcW w:w="95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30224</w:t>
            </w:r>
          </w:p>
        </w:tc>
        <w:tc>
          <w:tcPr>
            <w:tcW w:w="2285"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被装购置费</w:t>
            </w:r>
          </w:p>
        </w:tc>
        <w:tc>
          <w:tcPr>
            <w:tcW w:w="900" w:type="dxa"/>
            <w:gridSpan w:val="2"/>
            <w:tcBorders>
              <w:top w:val="nil"/>
              <w:left w:val="nil"/>
              <w:bottom w:val="single" w:color="auto" w:sz="4" w:space="0"/>
              <w:right w:val="single" w:color="auto" w:sz="4" w:space="0"/>
            </w:tcBorders>
            <w:shd w:val="clear" w:color="auto" w:fill="auto"/>
            <w:noWrap/>
            <w:vAlign w:val="top"/>
          </w:tcPr>
          <w:p>
            <w:pPr>
              <w:widowControl/>
              <w:jc w:val="righ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w:t>
            </w:r>
          </w:p>
        </w:tc>
        <w:tc>
          <w:tcPr>
            <w:tcW w:w="121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31022</w:t>
            </w:r>
          </w:p>
        </w:tc>
        <w:tc>
          <w:tcPr>
            <w:tcW w:w="3837" w:type="dxa"/>
            <w:gridSpan w:val="3"/>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无形资产购置</w:t>
            </w:r>
          </w:p>
        </w:tc>
        <w:tc>
          <w:tcPr>
            <w:tcW w:w="95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w:t>
            </w:r>
          </w:p>
        </w:tc>
      </w:tr>
      <w:tr>
        <w:tblPrEx>
          <w:tblCellMar>
            <w:top w:w="0" w:type="dxa"/>
            <w:left w:w="108" w:type="dxa"/>
            <w:bottom w:w="0" w:type="dxa"/>
            <w:right w:w="108" w:type="dxa"/>
          </w:tblCellMar>
        </w:tblPrEx>
        <w:trPr>
          <w:trHeight w:val="284" w:hRule="exact"/>
        </w:trPr>
        <w:tc>
          <w:tcPr>
            <w:tcW w:w="907"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30305</w:t>
            </w:r>
          </w:p>
        </w:tc>
        <w:tc>
          <w:tcPr>
            <w:tcW w:w="3315" w:type="dxa"/>
            <w:gridSpan w:val="4"/>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生活补助</w:t>
            </w:r>
          </w:p>
        </w:tc>
        <w:tc>
          <w:tcPr>
            <w:tcW w:w="1090" w:type="dxa"/>
            <w:gridSpan w:val="2"/>
            <w:tcBorders>
              <w:top w:val="nil"/>
              <w:left w:val="nil"/>
              <w:bottom w:val="single" w:color="auto" w:sz="4" w:space="0"/>
              <w:right w:val="single" w:color="auto" w:sz="4" w:space="0"/>
            </w:tcBorders>
            <w:shd w:val="clear" w:color="auto" w:fill="auto"/>
            <w:noWrap/>
            <w:vAlign w:val="top"/>
          </w:tcPr>
          <w:p>
            <w:pPr>
              <w:widowControl/>
              <w:jc w:val="right"/>
              <w:rPr>
                <w:rFonts w:hint="eastAsia" w:asciiTheme="minorEastAsia" w:hAnsiTheme="minorEastAsia" w:eastAsiaTheme="minorEastAsia" w:cstheme="minorEastAsia"/>
                <w:color w:val="000000"/>
                <w:kern w:val="0"/>
                <w:sz w:val="21"/>
                <w:szCs w:val="21"/>
                <w:lang w:val="en-US" w:eastAsia="zh-CN"/>
              </w:rPr>
            </w:pPr>
            <w:r>
              <w:rPr>
                <w:rFonts w:hint="eastAsia" w:asciiTheme="minorEastAsia" w:hAnsiTheme="minorEastAsia" w:eastAsiaTheme="minorEastAsia" w:cstheme="minorEastAsia"/>
                <w:color w:val="000000"/>
                <w:kern w:val="0"/>
                <w:sz w:val="21"/>
                <w:szCs w:val="21"/>
              </w:rPr>
              <w:t>　</w:t>
            </w:r>
            <w:r>
              <w:rPr>
                <w:rFonts w:hint="eastAsia" w:asciiTheme="minorEastAsia" w:hAnsiTheme="minorEastAsia" w:eastAsiaTheme="minorEastAsia" w:cstheme="minorEastAsia"/>
                <w:color w:val="000000"/>
                <w:kern w:val="0"/>
                <w:sz w:val="21"/>
                <w:szCs w:val="21"/>
                <w:lang w:val="en-US" w:eastAsia="zh-CN"/>
              </w:rPr>
              <w:t>27.09</w:t>
            </w:r>
          </w:p>
        </w:tc>
        <w:tc>
          <w:tcPr>
            <w:tcW w:w="95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30225</w:t>
            </w:r>
          </w:p>
        </w:tc>
        <w:tc>
          <w:tcPr>
            <w:tcW w:w="2285"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专用燃料费</w:t>
            </w:r>
          </w:p>
        </w:tc>
        <w:tc>
          <w:tcPr>
            <w:tcW w:w="900" w:type="dxa"/>
            <w:gridSpan w:val="2"/>
            <w:tcBorders>
              <w:top w:val="nil"/>
              <w:left w:val="nil"/>
              <w:bottom w:val="single" w:color="auto" w:sz="4" w:space="0"/>
              <w:right w:val="single" w:color="auto" w:sz="4" w:space="0"/>
            </w:tcBorders>
            <w:shd w:val="clear" w:color="auto" w:fill="auto"/>
            <w:noWrap/>
            <w:vAlign w:val="top"/>
          </w:tcPr>
          <w:p>
            <w:pPr>
              <w:widowControl/>
              <w:jc w:val="righ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w:t>
            </w:r>
          </w:p>
        </w:tc>
        <w:tc>
          <w:tcPr>
            <w:tcW w:w="121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31099</w:t>
            </w:r>
          </w:p>
        </w:tc>
        <w:tc>
          <w:tcPr>
            <w:tcW w:w="3837" w:type="dxa"/>
            <w:gridSpan w:val="3"/>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其他资本性支出</w:t>
            </w:r>
          </w:p>
        </w:tc>
        <w:tc>
          <w:tcPr>
            <w:tcW w:w="95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w:t>
            </w:r>
          </w:p>
        </w:tc>
      </w:tr>
      <w:tr>
        <w:tblPrEx>
          <w:tblCellMar>
            <w:top w:w="0" w:type="dxa"/>
            <w:left w:w="108" w:type="dxa"/>
            <w:bottom w:w="0" w:type="dxa"/>
            <w:right w:w="108" w:type="dxa"/>
          </w:tblCellMar>
        </w:tblPrEx>
        <w:trPr>
          <w:trHeight w:val="284" w:hRule="exact"/>
        </w:trPr>
        <w:tc>
          <w:tcPr>
            <w:tcW w:w="907"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30306</w:t>
            </w:r>
          </w:p>
        </w:tc>
        <w:tc>
          <w:tcPr>
            <w:tcW w:w="3315" w:type="dxa"/>
            <w:gridSpan w:val="4"/>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救济费</w:t>
            </w:r>
          </w:p>
        </w:tc>
        <w:tc>
          <w:tcPr>
            <w:tcW w:w="1090" w:type="dxa"/>
            <w:gridSpan w:val="2"/>
            <w:tcBorders>
              <w:top w:val="nil"/>
              <w:left w:val="nil"/>
              <w:bottom w:val="single" w:color="auto" w:sz="4" w:space="0"/>
              <w:right w:val="single" w:color="auto" w:sz="4" w:space="0"/>
            </w:tcBorders>
            <w:shd w:val="clear" w:color="auto" w:fill="auto"/>
            <w:noWrap/>
            <w:vAlign w:val="top"/>
          </w:tcPr>
          <w:p>
            <w:pPr>
              <w:widowControl/>
              <w:jc w:val="righ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w:t>
            </w:r>
          </w:p>
        </w:tc>
        <w:tc>
          <w:tcPr>
            <w:tcW w:w="95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30226</w:t>
            </w:r>
          </w:p>
        </w:tc>
        <w:tc>
          <w:tcPr>
            <w:tcW w:w="2285"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劳务费</w:t>
            </w:r>
          </w:p>
        </w:tc>
        <w:tc>
          <w:tcPr>
            <w:tcW w:w="900" w:type="dxa"/>
            <w:gridSpan w:val="2"/>
            <w:tcBorders>
              <w:top w:val="nil"/>
              <w:left w:val="nil"/>
              <w:bottom w:val="single" w:color="auto" w:sz="4" w:space="0"/>
              <w:right w:val="single" w:color="auto" w:sz="4" w:space="0"/>
            </w:tcBorders>
            <w:shd w:val="clear" w:color="auto" w:fill="auto"/>
            <w:noWrap/>
            <w:vAlign w:val="top"/>
          </w:tcPr>
          <w:p>
            <w:pPr>
              <w:widowControl/>
              <w:jc w:val="right"/>
              <w:rPr>
                <w:rFonts w:hint="eastAsia" w:asciiTheme="minorEastAsia" w:hAnsiTheme="minorEastAsia" w:eastAsiaTheme="minorEastAsia" w:cstheme="minorEastAsia"/>
                <w:color w:val="000000"/>
                <w:kern w:val="0"/>
                <w:sz w:val="21"/>
                <w:szCs w:val="21"/>
                <w:lang w:val="en-US" w:eastAsia="zh-CN"/>
              </w:rPr>
            </w:pPr>
            <w:r>
              <w:rPr>
                <w:rFonts w:hint="eastAsia" w:asciiTheme="minorEastAsia" w:hAnsiTheme="minorEastAsia" w:cstheme="minorEastAsia"/>
                <w:color w:val="000000"/>
                <w:kern w:val="0"/>
                <w:sz w:val="21"/>
                <w:szCs w:val="21"/>
                <w:lang w:val="en-US" w:eastAsia="zh-CN"/>
              </w:rPr>
              <w:t>0.19</w:t>
            </w:r>
            <w:r>
              <w:rPr>
                <w:rFonts w:hint="eastAsia" w:asciiTheme="minorEastAsia" w:hAnsiTheme="minorEastAsia" w:eastAsiaTheme="minorEastAsia" w:cstheme="minorEastAsia"/>
                <w:color w:val="000000"/>
                <w:kern w:val="0"/>
                <w:sz w:val="21"/>
                <w:szCs w:val="21"/>
              </w:rPr>
              <w:t>　</w:t>
            </w:r>
            <w:r>
              <w:rPr>
                <w:rFonts w:hint="eastAsia" w:asciiTheme="minorEastAsia" w:hAnsiTheme="minorEastAsia" w:eastAsiaTheme="minorEastAsia" w:cstheme="minorEastAsia"/>
                <w:color w:val="000000"/>
                <w:kern w:val="0"/>
                <w:sz w:val="21"/>
                <w:szCs w:val="21"/>
                <w:lang w:val="en-US" w:eastAsia="zh-CN"/>
              </w:rPr>
              <w:t>100010.11</w:t>
            </w:r>
          </w:p>
        </w:tc>
        <w:tc>
          <w:tcPr>
            <w:tcW w:w="121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399</w:t>
            </w:r>
          </w:p>
        </w:tc>
        <w:tc>
          <w:tcPr>
            <w:tcW w:w="3837" w:type="dxa"/>
            <w:gridSpan w:val="3"/>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其他支出</w:t>
            </w:r>
          </w:p>
        </w:tc>
        <w:tc>
          <w:tcPr>
            <w:tcW w:w="95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w:t>
            </w:r>
          </w:p>
        </w:tc>
      </w:tr>
      <w:tr>
        <w:tblPrEx>
          <w:tblCellMar>
            <w:top w:w="0" w:type="dxa"/>
            <w:left w:w="108" w:type="dxa"/>
            <w:bottom w:w="0" w:type="dxa"/>
            <w:right w:w="108" w:type="dxa"/>
          </w:tblCellMar>
        </w:tblPrEx>
        <w:trPr>
          <w:trHeight w:val="284" w:hRule="exact"/>
        </w:trPr>
        <w:tc>
          <w:tcPr>
            <w:tcW w:w="907"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30307</w:t>
            </w:r>
          </w:p>
        </w:tc>
        <w:tc>
          <w:tcPr>
            <w:tcW w:w="3315" w:type="dxa"/>
            <w:gridSpan w:val="4"/>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医疗费补助</w:t>
            </w:r>
          </w:p>
        </w:tc>
        <w:tc>
          <w:tcPr>
            <w:tcW w:w="1090" w:type="dxa"/>
            <w:gridSpan w:val="2"/>
            <w:tcBorders>
              <w:top w:val="nil"/>
              <w:left w:val="nil"/>
              <w:bottom w:val="single" w:color="auto" w:sz="4" w:space="0"/>
              <w:right w:val="single" w:color="auto" w:sz="4" w:space="0"/>
            </w:tcBorders>
            <w:shd w:val="clear" w:color="auto" w:fill="auto"/>
            <w:noWrap/>
            <w:vAlign w:val="top"/>
          </w:tcPr>
          <w:p>
            <w:pPr>
              <w:widowControl/>
              <w:jc w:val="righ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w:t>
            </w:r>
          </w:p>
        </w:tc>
        <w:tc>
          <w:tcPr>
            <w:tcW w:w="95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30227</w:t>
            </w:r>
          </w:p>
        </w:tc>
        <w:tc>
          <w:tcPr>
            <w:tcW w:w="2285"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委托业务费</w:t>
            </w:r>
          </w:p>
        </w:tc>
        <w:tc>
          <w:tcPr>
            <w:tcW w:w="900" w:type="dxa"/>
            <w:gridSpan w:val="2"/>
            <w:tcBorders>
              <w:top w:val="nil"/>
              <w:left w:val="nil"/>
              <w:bottom w:val="single" w:color="auto" w:sz="4" w:space="0"/>
              <w:right w:val="single" w:color="auto" w:sz="4" w:space="0"/>
            </w:tcBorders>
            <w:shd w:val="clear" w:color="auto" w:fill="auto"/>
            <w:noWrap/>
            <w:vAlign w:val="top"/>
          </w:tcPr>
          <w:p>
            <w:pPr>
              <w:widowControl/>
              <w:jc w:val="righ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w:t>
            </w:r>
          </w:p>
        </w:tc>
        <w:tc>
          <w:tcPr>
            <w:tcW w:w="121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rPr>
              <w:t>39907</w:t>
            </w:r>
          </w:p>
        </w:tc>
        <w:tc>
          <w:tcPr>
            <w:tcW w:w="3837" w:type="dxa"/>
            <w:gridSpan w:val="3"/>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rPr>
              <w:t xml:space="preserve">  国家赔偿费用支出</w:t>
            </w:r>
          </w:p>
        </w:tc>
        <w:tc>
          <w:tcPr>
            <w:tcW w:w="95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w:t>
            </w:r>
          </w:p>
        </w:tc>
      </w:tr>
      <w:tr>
        <w:tblPrEx>
          <w:tblCellMar>
            <w:top w:w="0" w:type="dxa"/>
            <w:left w:w="108" w:type="dxa"/>
            <w:bottom w:w="0" w:type="dxa"/>
            <w:right w:w="108" w:type="dxa"/>
          </w:tblCellMar>
        </w:tblPrEx>
        <w:trPr>
          <w:trHeight w:val="284" w:hRule="exact"/>
        </w:trPr>
        <w:tc>
          <w:tcPr>
            <w:tcW w:w="907"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30308</w:t>
            </w:r>
          </w:p>
        </w:tc>
        <w:tc>
          <w:tcPr>
            <w:tcW w:w="3315" w:type="dxa"/>
            <w:gridSpan w:val="4"/>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助学金</w:t>
            </w:r>
          </w:p>
        </w:tc>
        <w:tc>
          <w:tcPr>
            <w:tcW w:w="1090" w:type="dxa"/>
            <w:gridSpan w:val="2"/>
            <w:tcBorders>
              <w:top w:val="nil"/>
              <w:left w:val="nil"/>
              <w:bottom w:val="single" w:color="auto" w:sz="4" w:space="0"/>
              <w:right w:val="single" w:color="auto" w:sz="4" w:space="0"/>
            </w:tcBorders>
            <w:shd w:val="clear" w:color="auto" w:fill="auto"/>
            <w:noWrap/>
            <w:vAlign w:val="top"/>
          </w:tcPr>
          <w:p>
            <w:pPr>
              <w:widowControl/>
              <w:jc w:val="righ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w:t>
            </w:r>
          </w:p>
        </w:tc>
        <w:tc>
          <w:tcPr>
            <w:tcW w:w="95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30228</w:t>
            </w:r>
          </w:p>
        </w:tc>
        <w:tc>
          <w:tcPr>
            <w:tcW w:w="2285"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工会经费</w:t>
            </w:r>
          </w:p>
        </w:tc>
        <w:tc>
          <w:tcPr>
            <w:tcW w:w="900" w:type="dxa"/>
            <w:gridSpan w:val="2"/>
            <w:tcBorders>
              <w:top w:val="nil"/>
              <w:left w:val="nil"/>
              <w:bottom w:val="single" w:color="auto" w:sz="4" w:space="0"/>
              <w:right w:val="single" w:color="auto" w:sz="4" w:space="0"/>
            </w:tcBorders>
            <w:shd w:val="clear" w:color="auto" w:fill="auto"/>
            <w:noWrap/>
            <w:vAlign w:val="top"/>
          </w:tcPr>
          <w:p>
            <w:pPr>
              <w:widowControl/>
              <w:jc w:val="right"/>
              <w:rPr>
                <w:rFonts w:hint="eastAsia" w:asciiTheme="minorEastAsia" w:hAnsiTheme="minorEastAsia" w:eastAsiaTheme="minorEastAsia" w:cstheme="minorEastAsia"/>
                <w:color w:val="000000"/>
                <w:kern w:val="0"/>
                <w:sz w:val="21"/>
                <w:szCs w:val="21"/>
                <w:lang w:val="en-US" w:eastAsia="zh-CN"/>
              </w:rPr>
            </w:pPr>
            <w:r>
              <w:rPr>
                <w:rFonts w:hint="eastAsia" w:asciiTheme="minorEastAsia" w:hAnsiTheme="minorEastAsia" w:cstheme="minorEastAsia"/>
                <w:color w:val="000000"/>
                <w:kern w:val="0"/>
                <w:sz w:val="21"/>
                <w:szCs w:val="21"/>
                <w:lang w:val="en-US" w:eastAsia="zh-CN"/>
              </w:rPr>
              <w:t>17.24</w:t>
            </w:r>
            <w:r>
              <w:rPr>
                <w:rFonts w:hint="eastAsia" w:asciiTheme="minorEastAsia" w:hAnsiTheme="minorEastAsia" w:eastAsiaTheme="minorEastAsia" w:cstheme="minorEastAsia"/>
                <w:color w:val="000000"/>
                <w:kern w:val="0"/>
                <w:sz w:val="21"/>
                <w:szCs w:val="21"/>
              </w:rPr>
              <w:t>　</w:t>
            </w:r>
            <w:r>
              <w:rPr>
                <w:rFonts w:hint="eastAsia" w:asciiTheme="minorEastAsia" w:hAnsiTheme="minorEastAsia" w:eastAsiaTheme="minorEastAsia" w:cstheme="minorEastAsia"/>
                <w:color w:val="000000"/>
                <w:kern w:val="0"/>
                <w:sz w:val="21"/>
                <w:szCs w:val="21"/>
                <w:lang w:val="en-US" w:eastAsia="zh-CN"/>
              </w:rPr>
              <w:t>17.24</w:t>
            </w:r>
          </w:p>
        </w:tc>
        <w:tc>
          <w:tcPr>
            <w:tcW w:w="121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rPr>
              <w:t>39908</w:t>
            </w:r>
          </w:p>
        </w:tc>
        <w:tc>
          <w:tcPr>
            <w:tcW w:w="3837" w:type="dxa"/>
            <w:gridSpan w:val="3"/>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rPr>
              <w:t xml:space="preserve">  对民间非营利组织和群众性自治组织补贴</w:t>
            </w:r>
          </w:p>
        </w:tc>
        <w:tc>
          <w:tcPr>
            <w:tcW w:w="95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w:t>
            </w:r>
          </w:p>
        </w:tc>
      </w:tr>
      <w:tr>
        <w:tblPrEx>
          <w:tblCellMar>
            <w:top w:w="0" w:type="dxa"/>
            <w:left w:w="108" w:type="dxa"/>
            <w:bottom w:w="0" w:type="dxa"/>
            <w:right w:w="108" w:type="dxa"/>
          </w:tblCellMar>
        </w:tblPrEx>
        <w:trPr>
          <w:trHeight w:val="284" w:hRule="exact"/>
        </w:trPr>
        <w:tc>
          <w:tcPr>
            <w:tcW w:w="907"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30309</w:t>
            </w:r>
          </w:p>
        </w:tc>
        <w:tc>
          <w:tcPr>
            <w:tcW w:w="3315" w:type="dxa"/>
            <w:gridSpan w:val="4"/>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奖励金</w:t>
            </w:r>
          </w:p>
        </w:tc>
        <w:tc>
          <w:tcPr>
            <w:tcW w:w="1090" w:type="dxa"/>
            <w:gridSpan w:val="2"/>
            <w:tcBorders>
              <w:top w:val="nil"/>
              <w:left w:val="nil"/>
              <w:bottom w:val="single" w:color="auto" w:sz="4" w:space="0"/>
              <w:right w:val="single" w:color="auto" w:sz="4" w:space="0"/>
            </w:tcBorders>
            <w:shd w:val="clear" w:color="auto" w:fill="auto"/>
            <w:noWrap/>
            <w:vAlign w:val="top"/>
          </w:tcPr>
          <w:p>
            <w:pPr>
              <w:widowControl/>
              <w:jc w:val="right"/>
              <w:rPr>
                <w:rFonts w:hint="eastAsia" w:asciiTheme="minorEastAsia" w:hAnsiTheme="minorEastAsia" w:eastAsiaTheme="minorEastAsia" w:cstheme="minorEastAsia"/>
                <w:color w:val="000000"/>
                <w:kern w:val="0"/>
                <w:sz w:val="21"/>
                <w:szCs w:val="21"/>
                <w:lang w:val="en-US" w:eastAsia="zh-CN"/>
              </w:rPr>
            </w:pPr>
            <w:r>
              <w:rPr>
                <w:rFonts w:hint="eastAsia" w:asciiTheme="minorEastAsia" w:hAnsiTheme="minorEastAsia" w:eastAsiaTheme="minorEastAsia" w:cstheme="minorEastAsia"/>
                <w:color w:val="000000"/>
                <w:kern w:val="0"/>
                <w:sz w:val="21"/>
                <w:szCs w:val="21"/>
              </w:rPr>
              <w:t>　</w:t>
            </w:r>
            <w:r>
              <w:rPr>
                <w:rFonts w:hint="eastAsia" w:asciiTheme="minorEastAsia" w:hAnsiTheme="minorEastAsia" w:eastAsiaTheme="minorEastAsia" w:cstheme="minorEastAsia"/>
                <w:color w:val="000000"/>
                <w:kern w:val="0"/>
                <w:sz w:val="21"/>
                <w:szCs w:val="21"/>
                <w:lang w:val="en-US" w:eastAsia="zh-CN"/>
              </w:rPr>
              <w:t>1.05</w:t>
            </w:r>
          </w:p>
        </w:tc>
        <w:tc>
          <w:tcPr>
            <w:tcW w:w="95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30229</w:t>
            </w:r>
          </w:p>
        </w:tc>
        <w:tc>
          <w:tcPr>
            <w:tcW w:w="2285"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福利费</w:t>
            </w:r>
          </w:p>
        </w:tc>
        <w:tc>
          <w:tcPr>
            <w:tcW w:w="900" w:type="dxa"/>
            <w:gridSpan w:val="2"/>
            <w:tcBorders>
              <w:top w:val="nil"/>
              <w:left w:val="nil"/>
              <w:bottom w:val="single" w:color="auto" w:sz="4" w:space="0"/>
              <w:right w:val="single" w:color="auto" w:sz="4" w:space="0"/>
            </w:tcBorders>
            <w:shd w:val="clear" w:color="auto" w:fill="auto"/>
            <w:noWrap/>
            <w:vAlign w:val="top"/>
          </w:tcPr>
          <w:p>
            <w:pPr>
              <w:widowControl/>
              <w:jc w:val="right"/>
              <w:rPr>
                <w:rFonts w:hint="eastAsia" w:asciiTheme="minorEastAsia" w:hAnsiTheme="minorEastAsia" w:eastAsiaTheme="minorEastAsia" w:cstheme="minorEastAsia"/>
                <w:color w:val="000000"/>
                <w:kern w:val="0"/>
                <w:sz w:val="21"/>
                <w:szCs w:val="21"/>
                <w:lang w:val="en-US" w:eastAsia="zh-CN"/>
              </w:rPr>
            </w:pPr>
            <w:r>
              <w:rPr>
                <w:rFonts w:hint="eastAsia" w:asciiTheme="minorEastAsia" w:hAnsiTheme="minorEastAsia" w:eastAsiaTheme="minorEastAsia" w:cstheme="minorEastAsia"/>
                <w:color w:val="000000"/>
                <w:kern w:val="0"/>
                <w:sz w:val="21"/>
                <w:szCs w:val="21"/>
                <w:lang w:val="en-US" w:eastAsia="zh-CN"/>
              </w:rPr>
              <w:t>9.73</w:t>
            </w:r>
          </w:p>
        </w:tc>
        <w:tc>
          <w:tcPr>
            <w:tcW w:w="121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lang w:val="en-US" w:eastAsia="zh-CN"/>
              </w:rPr>
            </w:pPr>
            <w:r>
              <w:rPr>
                <w:rFonts w:hint="eastAsia" w:asciiTheme="minorEastAsia" w:hAnsiTheme="minorEastAsia" w:eastAsiaTheme="minorEastAsia" w:cstheme="minorEastAsia"/>
                <w:color w:val="000000"/>
                <w:kern w:val="0"/>
                <w:sz w:val="21"/>
                <w:szCs w:val="21"/>
              </w:rPr>
              <w:t>3990</w:t>
            </w:r>
            <w:r>
              <w:rPr>
                <w:rFonts w:hint="eastAsia" w:asciiTheme="minorEastAsia" w:hAnsiTheme="minorEastAsia" w:eastAsiaTheme="minorEastAsia" w:cstheme="minorEastAsia"/>
                <w:color w:val="000000"/>
                <w:kern w:val="0"/>
                <w:sz w:val="21"/>
                <w:szCs w:val="21"/>
                <w:lang w:val="en-US" w:eastAsia="zh-CN"/>
              </w:rPr>
              <w:t>9</w:t>
            </w:r>
          </w:p>
        </w:tc>
        <w:tc>
          <w:tcPr>
            <w:tcW w:w="3837" w:type="dxa"/>
            <w:gridSpan w:val="3"/>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经常性赠与</w:t>
            </w:r>
          </w:p>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资本性赠与</w:t>
            </w:r>
          </w:p>
          <w:p>
            <w:pPr>
              <w:widowControl/>
              <w:jc w:val="left"/>
              <w:rPr>
                <w:rFonts w:hint="eastAsia" w:asciiTheme="minorEastAsia" w:hAnsiTheme="minorEastAsia" w:eastAsiaTheme="minorEastAsia" w:cstheme="minorEastAsia"/>
                <w:color w:val="000000"/>
                <w:kern w:val="0"/>
                <w:sz w:val="21"/>
                <w:szCs w:val="21"/>
              </w:rPr>
            </w:pPr>
          </w:p>
          <w:tbl>
            <w:tblPr>
              <w:tblStyle w:val="11"/>
              <w:tblW w:w="3946"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93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 xml:space="preserve">  经常性赠与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 xml:space="preserve">  资本性赠与</w:t>
                  </w:r>
                </w:p>
              </w:tc>
            </w:tr>
          </w:tbl>
          <w:p>
            <w:pPr>
              <w:widowControl/>
              <w:jc w:val="left"/>
              <w:rPr>
                <w:rFonts w:hint="eastAsia" w:asciiTheme="minorEastAsia" w:hAnsiTheme="minorEastAsia" w:eastAsiaTheme="minorEastAsia" w:cstheme="minorEastAsia"/>
                <w:color w:val="000000"/>
                <w:kern w:val="0"/>
                <w:sz w:val="21"/>
                <w:szCs w:val="21"/>
              </w:rPr>
            </w:pPr>
          </w:p>
          <w:tbl>
            <w:tblPr>
              <w:tblStyle w:val="11"/>
              <w:tblW w:w="3946"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93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 xml:space="preserve">  经常性赠与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 xml:space="preserve">  资本性赠与</w:t>
                  </w:r>
                </w:p>
              </w:tc>
            </w:tr>
          </w:tbl>
          <w:p>
            <w:pPr>
              <w:widowControl/>
              <w:jc w:val="left"/>
              <w:rPr>
                <w:rFonts w:hint="eastAsia" w:asciiTheme="minorEastAsia" w:hAnsiTheme="minorEastAsia" w:eastAsiaTheme="minorEastAsia" w:cstheme="minorEastAsia"/>
                <w:color w:val="000000"/>
                <w:kern w:val="0"/>
                <w:sz w:val="21"/>
                <w:szCs w:val="21"/>
              </w:rPr>
            </w:pPr>
          </w:p>
        </w:tc>
        <w:tc>
          <w:tcPr>
            <w:tcW w:w="95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w:t>
            </w:r>
          </w:p>
        </w:tc>
      </w:tr>
      <w:tr>
        <w:tblPrEx>
          <w:tblCellMar>
            <w:top w:w="0" w:type="dxa"/>
            <w:left w:w="108" w:type="dxa"/>
            <w:bottom w:w="0" w:type="dxa"/>
            <w:right w:w="108" w:type="dxa"/>
          </w:tblCellMar>
        </w:tblPrEx>
        <w:trPr>
          <w:trHeight w:val="284" w:hRule="exact"/>
        </w:trPr>
        <w:tc>
          <w:tcPr>
            <w:tcW w:w="907"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30310</w:t>
            </w:r>
          </w:p>
        </w:tc>
        <w:tc>
          <w:tcPr>
            <w:tcW w:w="3315" w:type="dxa"/>
            <w:gridSpan w:val="4"/>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个人农业生产补贴</w:t>
            </w:r>
          </w:p>
        </w:tc>
        <w:tc>
          <w:tcPr>
            <w:tcW w:w="1090" w:type="dxa"/>
            <w:gridSpan w:val="2"/>
            <w:tcBorders>
              <w:top w:val="nil"/>
              <w:left w:val="nil"/>
              <w:bottom w:val="single" w:color="auto" w:sz="4" w:space="0"/>
              <w:right w:val="single" w:color="auto" w:sz="4" w:space="0"/>
            </w:tcBorders>
            <w:shd w:val="clear" w:color="auto" w:fill="auto"/>
            <w:noWrap/>
            <w:vAlign w:val="top"/>
          </w:tcPr>
          <w:p>
            <w:pPr>
              <w:widowControl/>
              <w:jc w:val="righ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w:t>
            </w:r>
          </w:p>
        </w:tc>
        <w:tc>
          <w:tcPr>
            <w:tcW w:w="95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30231</w:t>
            </w:r>
          </w:p>
        </w:tc>
        <w:tc>
          <w:tcPr>
            <w:tcW w:w="2285"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公务用车运行维护费</w:t>
            </w:r>
          </w:p>
        </w:tc>
        <w:tc>
          <w:tcPr>
            <w:tcW w:w="900" w:type="dxa"/>
            <w:gridSpan w:val="2"/>
            <w:tcBorders>
              <w:top w:val="nil"/>
              <w:left w:val="nil"/>
              <w:bottom w:val="single" w:color="auto" w:sz="4" w:space="0"/>
              <w:right w:val="single" w:color="auto" w:sz="4" w:space="0"/>
            </w:tcBorders>
            <w:shd w:val="clear" w:color="auto" w:fill="auto"/>
            <w:noWrap/>
            <w:vAlign w:val="top"/>
          </w:tcPr>
          <w:p>
            <w:pPr>
              <w:widowControl/>
              <w:jc w:val="right"/>
              <w:rPr>
                <w:rFonts w:hint="eastAsia" w:asciiTheme="minorEastAsia" w:hAnsiTheme="minorEastAsia" w:eastAsiaTheme="minorEastAsia" w:cstheme="minorEastAsia"/>
                <w:color w:val="000000"/>
                <w:kern w:val="0"/>
                <w:sz w:val="21"/>
                <w:szCs w:val="21"/>
                <w:lang w:val="en-US" w:eastAsia="zh-CN"/>
              </w:rPr>
            </w:pPr>
          </w:p>
        </w:tc>
        <w:tc>
          <w:tcPr>
            <w:tcW w:w="121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lang w:val="en-US" w:eastAsia="zh-CN"/>
              </w:rPr>
            </w:pPr>
            <w:r>
              <w:rPr>
                <w:rFonts w:hint="eastAsia" w:asciiTheme="minorEastAsia" w:hAnsiTheme="minorEastAsia" w:eastAsiaTheme="minorEastAsia" w:cstheme="minorEastAsia"/>
                <w:color w:val="000000"/>
                <w:kern w:val="0"/>
                <w:sz w:val="21"/>
                <w:szCs w:val="21"/>
              </w:rPr>
              <w:t>399</w:t>
            </w:r>
            <w:r>
              <w:rPr>
                <w:rFonts w:hint="eastAsia" w:asciiTheme="minorEastAsia" w:hAnsiTheme="minorEastAsia" w:eastAsiaTheme="minorEastAsia" w:cstheme="minorEastAsia"/>
                <w:color w:val="000000"/>
                <w:kern w:val="0"/>
                <w:sz w:val="21"/>
                <w:szCs w:val="21"/>
                <w:lang w:val="en-US" w:eastAsia="zh-CN"/>
              </w:rPr>
              <w:t>10</w:t>
            </w:r>
          </w:p>
        </w:tc>
        <w:tc>
          <w:tcPr>
            <w:tcW w:w="3837" w:type="dxa"/>
            <w:gridSpan w:val="3"/>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lang w:val="en-US" w:eastAsia="zh-CN"/>
              </w:rPr>
            </w:pPr>
            <w:r>
              <w:rPr>
                <w:rFonts w:hint="eastAsia" w:asciiTheme="minorEastAsia" w:hAnsiTheme="minorEastAsia" w:eastAsiaTheme="minorEastAsia" w:cstheme="minorEastAsia"/>
                <w:color w:val="000000"/>
                <w:kern w:val="0"/>
                <w:sz w:val="21"/>
                <w:szCs w:val="21"/>
                <w:lang w:val="en-US" w:eastAsia="zh-CN"/>
              </w:rPr>
              <w:t xml:space="preserve">  资本性赠与</w:t>
            </w:r>
          </w:p>
        </w:tc>
        <w:tc>
          <w:tcPr>
            <w:tcW w:w="95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w:t>
            </w:r>
          </w:p>
        </w:tc>
      </w:tr>
      <w:tr>
        <w:tblPrEx>
          <w:tblCellMar>
            <w:top w:w="0" w:type="dxa"/>
            <w:left w:w="108" w:type="dxa"/>
            <w:bottom w:w="0" w:type="dxa"/>
            <w:right w:w="108" w:type="dxa"/>
          </w:tblCellMar>
        </w:tblPrEx>
        <w:trPr>
          <w:trHeight w:val="284" w:hRule="exact"/>
        </w:trPr>
        <w:tc>
          <w:tcPr>
            <w:tcW w:w="907"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30311</w:t>
            </w:r>
          </w:p>
        </w:tc>
        <w:tc>
          <w:tcPr>
            <w:tcW w:w="3315" w:type="dxa"/>
            <w:gridSpan w:val="4"/>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代缴社会保险费</w:t>
            </w:r>
          </w:p>
        </w:tc>
        <w:tc>
          <w:tcPr>
            <w:tcW w:w="1090" w:type="dxa"/>
            <w:gridSpan w:val="2"/>
            <w:tcBorders>
              <w:top w:val="nil"/>
              <w:left w:val="nil"/>
              <w:bottom w:val="single" w:color="auto" w:sz="4" w:space="0"/>
              <w:right w:val="single" w:color="auto" w:sz="4" w:space="0"/>
            </w:tcBorders>
            <w:shd w:val="clear" w:color="auto" w:fill="auto"/>
            <w:noWrap/>
            <w:vAlign w:val="top"/>
          </w:tcPr>
          <w:p>
            <w:pPr>
              <w:widowControl/>
              <w:jc w:val="righ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w:t>
            </w:r>
          </w:p>
        </w:tc>
        <w:tc>
          <w:tcPr>
            <w:tcW w:w="95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30239</w:t>
            </w:r>
          </w:p>
        </w:tc>
        <w:tc>
          <w:tcPr>
            <w:tcW w:w="2285"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其他交通费用</w:t>
            </w:r>
          </w:p>
        </w:tc>
        <w:tc>
          <w:tcPr>
            <w:tcW w:w="900" w:type="dxa"/>
            <w:gridSpan w:val="2"/>
            <w:tcBorders>
              <w:top w:val="nil"/>
              <w:left w:val="nil"/>
              <w:bottom w:val="single" w:color="auto" w:sz="4" w:space="0"/>
              <w:right w:val="single" w:color="auto" w:sz="4" w:space="0"/>
            </w:tcBorders>
            <w:shd w:val="clear" w:color="auto" w:fill="auto"/>
            <w:noWrap/>
            <w:vAlign w:val="top"/>
          </w:tcPr>
          <w:p>
            <w:pPr>
              <w:widowControl/>
              <w:jc w:val="right"/>
              <w:rPr>
                <w:rFonts w:hint="default" w:asciiTheme="minorEastAsia" w:hAnsiTheme="minorEastAsia" w:eastAsiaTheme="minorEastAsia" w:cstheme="minorEastAsia"/>
                <w:color w:val="000000"/>
                <w:kern w:val="0"/>
                <w:sz w:val="21"/>
                <w:szCs w:val="21"/>
                <w:lang w:val="en-US" w:eastAsia="zh-CN"/>
              </w:rPr>
            </w:pPr>
            <w:r>
              <w:rPr>
                <w:rFonts w:hint="eastAsia" w:asciiTheme="minorEastAsia" w:hAnsiTheme="minorEastAsia" w:eastAsiaTheme="minorEastAsia" w:cstheme="minorEastAsia"/>
                <w:color w:val="000000"/>
                <w:kern w:val="0"/>
                <w:sz w:val="21"/>
                <w:szCs w:val="21"/>
                <w:lang w:val="en-US" w:eastAsia="zh-CN"/>
              </w:rPr>
              <w:t>20.1</w:t>
            </w:r>
            <w:r>
              <w:rPr>
                <w:rFonts w:hint="eastAsia" w:asciiTheme="minorEastAsia" w:hAnsiTheme="minorEastAsia" w:cstheme="minorEastAsia"/>
                <w:color w:val="000000"/>
                <w:kern w:val="0"/>
                <w:sz w:val="21"/>
                <w:szCs w:val="21"/>
                <w:lang w:val="en-US" w:eastAsia="zh-CN"/>
              </w:rPr>
              <w:t>0</w:t>
            </w:r>
          </w:p>
        </w:tc>
        <w:tc>
          <w:tcPr>
            <w:tcW w:w="121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rPr>
              <w:t>39999</w:t>
            </w:r>
          </w:p>
        </w:tc>
        <w:tc>
          <w:tcPr>
            <w:tcW w:w="3837" w:type="dxa"/>
            <w:gridSpan w:val="3"/>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lang w:val="en-US" w:eastAsia="zh-CN" w:bidi="ar-SA"/>
              </w:rPr>
            </w:pPr>
            <w:r>
              <w:rPr>
                <w:rFonts w:hint="eastAsia" w:asciiTheme="minorEastAsia" w:hAnsiTheme="minorEastAsia" w:eastAsiaTheme="minorEastAsia" w:cstheme="minorEastAsia"/>
                <w:color w:val="000000"/>
                <w:kern w:val="0"/>
                <w:sz w:val="21"/>
                <w:szCs w:val="21"/>
              </w:rPr>
              <w:t xml:space="preserve">  其他支出</w:t>
            </w:r>
          </w:p>
        </w:tc>
        <w:tc>
          <w:tcPr>
            <w:tcW w:w="95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w:t>
            </w:r>
          </w:p>
        </w:tc>
      </w:tr>
      <w:tr>
        <w:tblPrEx>
          <w:tblCellMar>
            <w:top w:w="0" w:type="dxa"/>
            <w:left w:w="108" w:type="dxa"/>
            <w:bottom w:w="0" w:type="dxa"/>
            <w:right w:w="108" w:type="dxa"/>
          </w:tblCellMar>
        </w:tblPrEx>
        <w:trPr>
          <w:trHeight w:val="284" w:hRule="exact"/>
        </w:trPr>
        <w:tc>
          <w:tcPr>
            <w:tcW w:w="907"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30399</w:t>
            </w:r>
          </w:p>
        </w:tc>
        <w:tc>
          <w:tcPr>
            <w:tcW w:w="3315" w:type="dxa"/>
            <w:gridSpan w:val="4"/>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其他对个人和家庭的补助</w:t>
            </w:r>
          </w:p>
        </w:tc>
        <w:tc>
          <w:tcPr>
            <w:tcW w:w="1090" w:type="dxa"/>
            <w:gridSpan w:val="2"/>
            <w:tcBorders>
              <w:top w:val="nil"/>
              <w:left w:val="nil"/>
              <w:bottom w:val="single" w:color="auto" w:sz="4" w:space="0"/>
              <w:right w:val="single" w:color="auto" w:sz="4" w:space="0"/>
            </w:tcBorders>
            <w:shd w:val="clear" w:color="auto" w:fill="auto"/>
            <w:noWrap/>
            <w:vAlign w:val="top"/>
          </w:tcPr>
          <w:p>
            <w:pPr>
              <w:widowControl/>
              <w:jc w:val="right"/>
              <w:rPr>
                <w:rFonts w:hint="eastAsia" w:asciiTheme="minorEastAsia" w:hAnsiTheme="minorEastAsia" w:eastAsiaTheme="minorEastAsia" w:cstheme="minorEastAsia"/>
                <w:color w:val="000000"/>
                <w:kern w:val="0"/>
                <w:sz w:val="21"/>
                <w:szCs w:val="21"/>
                <w:lang w:val="en-US" w:eastAsia="zh-CN"/>
              </w:rPr>
            </w:pPr>
            <w:r>
              <w:rPr>
                <w:rFonts w:hint="eastAsia" w:asciiTheme="minorEastAsia" w:hAnsiTheme="minorEastAsia" w:eastAsiaTheme="minorEastAsia" w:cstheme="minorEastAsia"/>
                <w:color w:val="000000"/>
                <w:kern w:val="0"/>
                <w:sz w:val="21"/>
                <w:szCs w:val="21"/>
                <w:lang w:val="en-US" w:eastAsia="zh-CN"/>
              </w:rPr>
              <w:t>2.32</w:t>
            </w:r>
          </w:p>
        </w:tc>
        <w:tc>
          <w:tcPr>
            <w:tcW w:w="95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30240</w:t>
            </w:r>
          </w:p>
        </w:tc>
        <w:tc>
          <w:tcPr>
            <w:tcW w:w="2285"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税金及附加费用</w:t>
            </w:r>
          </w:p>
        </w:tc>
        <w:tc>
          <w:tcPr>
            <w:tcW w:w="900" w:type="dxa"/>
            <w:gridSpan w:val="2"/>
            <w:tcBorders>
              <w:top w:val="nil"/>
              <w:left w:val="nil"/>
              <w:bottom w:val="single" w:color="auto" w:sz="4" w:space="0"/>
              <w:right w:val="single" w:color="auto" w:sz="4" w:space="0"/>
            </w:tcBorders>
            <w:shd w:val="clear" w:color="auto" w:fill="auto"/>
            <w:noWrap/>
            <w:vAlign w:val="top"/>
          </w:tcPr>
          <w:p>
            <w:pPr>
              <w:widowControl/>
              <w:jc w:val="righ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w:t>
            </w:r>
          </w:p>
        </w:tc>
        <w:tc>
          <w:tcPr>
            <w:tcW w:w="121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w:t>
            </w:r>
          </w:p>
        </w:tc>
        <w:tc>
          <w:tcPr>
            <w:tcW w:w="3837" w:type="dxa"/>
            <w:gridSpan w:val="3"/>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w:t>
            </w:r>
          </w:p>
        </w:tc>
        <w:tc>
          <w:tcPr>
            <w:tcW w:w="95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w:t>
            </w:r>
          </w:p>
        </w:tc>
      </w:tr>
      <w:tr>
        <w:tblPrEx>
          <w:tblCellMar>
            <w:top w:w="0" w:type="dxa"/>
            <w:left w:w="108" w:type="dxa"/>
            <w:bottom w:w="0" w:type="dxa"/>
            <w:right w:w="108" w:type="dxa"/>
          </w:tblCellMar>
        </w:tblPrEx>
        <w:trPr>
          <w:trHeight w:val="284" w:hRule="exact"/>
        </w:trPr>
        <w:tc>
          <w:tcPr>
            <w:tcW w:w="907"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w:t>
            </w:r>
          </w:p>
        </w:tc>
        <w:tc>
          <w:tcPr>
            <w:tcW w:w="3315" w:type="dxa"/>
            <w:gridSpan w:val="4"/>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w:t>
            </w:r>
          </w:p>
        </w:tc>
        <w:tc>
          <w:tcPr>
            <w:tcW w:w="1090" w:type="dxa"/>
            <w:gridSpan w:val="2"/>
            <w:tcBorders>
              <w:top w:val="nil"/>
              <w:left w:val="nil"/>
              <w:bottom w:val="single" w:color="auto" w:sz="4" w:space="0"/>
              <w:right w:val="single" w:color="auto" w:sz="4" w:space="0"/>
            </w:tcBorders>
            <w:shd w:val="clear" w:color="auto" w:fill="auto"/>
            <w:noWrap/>
            <w:vAlign w:val="top"/>
          </w:tcPr>
          <w:p>
            <w:pPr>
              <w:widowControl/>
              <w:jc w:val="righ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w:t>
            </w:r>
          </w:p>
        </w:tc>
        <w:tc>
          <w:tcPr>
            <w:tcW w:w="95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30299</w:t>
            </w:r>
          </w:p>
        </w:tc>
        <w:tc>
          <w:tcPr>
            <w:tcW w:w="2285"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  其他商品和服务支出</w:t>
            </w:r>
          </w:p>
        </w:tc>
        <w:tc>
          <w:tcPr>
            <w:tcW w:w="900" w:type="dxa"/>
            <w:gridSpan w:val="2"/>
            <w:tcBorders>
              <w:top w:val="nil"/>
              <w:left w:val="nil"/>
              <w:bottom w:val="single" w:color="auto" w:sz="4" w:space="0"/>
              <w:right w:val="single" w:color="auto" w:sz="4" w:space="0"/>
            </w:tcBorders>
            <w:shd w:val="clear" w:color="auto" w:fill="auto"/>
            <w:noWrap/>
            <w:vAlign w:val="top"/>
          </w:tcPr>
          <w:p>
            <w:pPr>
              <w:widowControl/>
              <w:jc w:val="right"/>
              <w:rPr>
                <w:rFonts w:hint="eastAsia" w:asciiTheme="minorEastAsia" w:hAnsiTheme="minorEastAsia" w:eastAsiaTheme="minorEastAsia" w:cstheme="minorEastAsia"/>
                <w:color w:val="000000"/>
                <w:kern w:val="0"/>
                <w:sz w:val="21"/>
                <w:szCs w:val="21"/>
                <w:lang w:val="en-US" w:eastAsia="zh-CN"/>
              </w:rPr>
            </w:pPr>
            <w:r>
              <w:rPr>
                <w:rFonts w:hint="eastAsia" w:asciiTheme="minorEastAsia" w:hAnsiTheme="minorEastAsia" w:eastAsiaTheme="minorEastAsia" w:cstheme="minorEastAsia"/>
                <w:color w:val="000000"/>
                <w:kern w:val="0"/>
                <w:sz w:val="21"/>
                <w:szCs w:val="21"/>
                <w:lang w:val="en-US" w:eastAsia="zh-CN"/>
              </w:rPr>
              <w:t>7.95</w:t>
            </w:r>
          </w:p>
        </w:tc>
        <w:tc>
          <w:tcPr>
            <w:tcW w:w="1213"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w:t>
            </w:r>
          </w:p>
        </w:tc>
        <w:tc>
          <w:tcPr>
            <w:tcW w:w="3837" w:type="dxa"/>
            <w:gridSpan w:val="3"/>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w:t>
            </w:r>
          </w:p>
        </w:tc>
        <w:tc>
          <w:tcPr>
            <w:tcW w:w="952"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w:t>
            </w:r>
          </w:p>
        </w:tc>
      </w:tr>
      <w:tr>
        <w:tblPrEx>
          <w:tblCellMar>
            <w:top w:w="0" w:type="dxa"/>
            <w:left w:w="108" w:type="dxa"/>
            <w:bottom w:w="0" w:type="dxa"/>
            <w:right w:w="108" w:type="dxa"/>
          </w:tblCellMar>
        </w:tblPrEx>
        <w:trPr>
          <w:trHeight w:val="284" w:hRule="exact"/>
        </w:trPr>
        <w:tc>
          <w:tcPr>
            <w:tcW w:w="4222"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人员经费合计</w:t>
            </w:r>
          </w:p>
        </w:tc>
        <w:tc>
          <w:tcPr>
            <w:tcW w:w="1090"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lang w:val="en-US" w:eastAsia="zh-CN"/>
              </w:rPr>
            </w:pPr>
            <w:r>
              <w:rPr>
                <w:rFonts w:hint="eastAsia" w:asciiTheme="minorEastAsia" w:hAnsiTheme="minorEastAsia" w:eastAsiaTheme="minorEastAsia" w:cstheme="minorEastAsia"/>
                <w:b/>
                <w:bCs/>
                <w:color w:val="000000"/>
                <w:kern w:val="0"/>
                <w:sz w:val="21"/>
                <w:szCs w:val="21"/>
              </w:rPr>
              <w:t>　</w:t>
            </w:r>
            <w:r>
              <w:rPr>
                <w:rFonts w:hint="eastAsia" w:asciiTheme="minorEastAsia" w:hAnsiTheme="minorEastAsia" w:eastAsiaTheme="minorEastAsia" w:cstheme="minorEastAsia"/>
                <w:b/>
                <w:bCs/>
                <w:color w:val="000000"/>
                <w:kern w:val="0"/>
                <w:sz w:val="21"/>
                <w:szCs w:val="21"/>
                <w:lang w:val="en-US" w:eastAsia="zh-CN"/>
              </w:rPr>
              <w:t>408.22</w:t>
            </w:r>
          </w:p>
        </w:tc>
        <w:tc>
          <w:tcPr>
            <w:tcW w:w="9188" w:type="dxa"/>
            <w:gridSpan w:val="9"/>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公用经费合计</w:t>
            </w:r>
          </w:p>
        </w:tc>
        <w:tc>
          <w:tcPr>
            <w:tcW w:w="952"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Theme="minorEastAsia" w:hAnsiTheme="minorEastAsia" w:eastAsiaTheme="minorEastAsia" w:cstheme="minorEastAsia"/>
                <w:b/>
                <w:bCs/>
                <w:color w:val="000000"/>
                <w:kern w:val="0"/>
                <w:sz w:val="21"/>
                <w:szCs w:val="21"/>
                <w:lang w:val="en-US" w:eastAsia="zh-CN"/>
              </w:rPr>
            </w:pPr>
            <w:r>
              <w:rPr>
                <w:rFonts w:hint="eastAsia" w:asciiTheme="minorEastAsia" w:hAnsiTheme="minorEastAsia" w:cstheme="minorEastAsia"/>
                <w:b/>
                <w:bCs/>
                <w:color w:val="000000"/>
                <w:kern w:val="0"/>
                <w:sz w:val="21"/>
                <w:szCs w:val="21"/>
                <w:lang w:val="en-US" w:eastAsia="zh-CN"/>
              </w:rPr>
              <w:t>55.71</w:t>
            </w:r>
          </w:p>
        </w:tc>
      </w:tr>
      <w:tr>
        <w:tblPrEx>
          <w:tblCellMar>
            <w:top w:w="0" w:type="dxa"/>
            <w:left w:w="108" w:type="dxa"/>
            <w:bottom w:w="0" w:type="dxa"/>
            <w:right w:w="108" w:type="dxa"/>
          </w:tblCellMar>
        </w:tblPrEx>
        <w:trPr>
          <w:trHeight w:val="284" w:hRule="exact"/>
        </w:trPr>
        <w:tc>
          <w:tcPr>
            <w:tcW w:w="15452" w:type="dxa"/>
            <w:gridSpan w:val="17"/>
            <w:tcBorders>
              <w:top w:val="nil"/>
              <w:left w:val="nil"/>
              <w:bottom w:val="nil"/>
              <w:right w:val="nil"/>
            </w:tcBorders>
            <w:shd w:val="clear" w:color="auto" w:fill="auto"/>
            <w:noWrap/>
            <w:vAlign w:val="center"/>
          </w:tcPr>
          <w:p>
            <w:pPr>
              <w:widowControl/>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注：本表反映部门本年度一般公共预算财政拨款基本支出明细情况。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15452" w:type="dxa"/>
            <w:gridSpan w:val="17"/>
            <w:tcBorders>
              <w:top w:val="nil"/>
              <w:left w:val="nil"/>
              <w:bottom w:val="nil"/>
              <w:right w:val="nil"/>
            </w:tcBorders>
            <w:shd w:val="clear" w:color="auto" w:fill="FFFFFF"/>
            <w:vAlign w:val="center"/>
          </w:tcPr>
          <w:p>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政府性基金预算财政拨款收入支出决算表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991" w:type="dxa"/>
            <w:gridSpan w:val="2"/>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240"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1385"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2108" w:type="dxa"/>
            <w:gridSpan w:val="2"/>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272" w:type="dxa"/>
            <w:gridSpan w:val="3"/>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091" w:type="dxa"/>
            <w:gridSpan w:val="2"/>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094" w:type="dxa"/>
            <w:gridSpan w:val="3"/>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09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180" w:type="dxa"/>
            <w:gridSpan w:val="2"/>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公开07表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7" w:hRule="atLeast"/>
        </w:trPr>
        <w:tc>
          <w:tcPr>
            <w:tcW w:w="6996" w:type="dxa"/>
            <w:gridSpan w:val="9"/>
            <w:tcBorders>
              <w:top w:val="nil"/>
              <w:left w:val="nil"/>
              <w:bottom w:val="nil"/>
              <w:right w:val="nil"/>
            </w:tcBorders>
            <w:shd w:val="clear" w:color="auto" w:fill="FFFFFF"/>
            <w:noWrap/>
            <w:vAlign w:val="center"/>
          </w:tcPr>
          <w:p>
            <w:pP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部门：怀化市民族宗教事务局</w:t>
            </w:r>
          </w:p>
        </w:tc>
        <w:tc>
          <w:tcPr>
            <w:tcW w:w="2091" w:type="dxa"/>
            <w:gridSpan w:val="2"/>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094" w:type="dxa"/>
            <w:gridSpan w:val="3"/>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09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180" w:type="dxa"/>
            <w:gridSpan w:val="2"/>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9" w:hRule="atLeast"/>
        </w:trPr>
        <w:tc>
          <w:tcPr>
            <w:tcW w:w="26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 xml:space="preserve">项 </w:t>
            </w:r>
            <w:r>
              <w:rPr>
                <w:rStyle w:val="18"/>
                <w:rFonts w:hint="eastAsia" w:asciiTheme="minorEastAsia" w:hAnsiTheme="minorEastAsia" w:eastAsiaTheme="minorEastAsia" w:cstheme="minorEastAsia"/>
                <w:sz w:val="21"/>
                <w:szCs w:val="21"/>
                <w:lang w:val="en-US" w:eastAsia="zh-CN" w:bidi="ar"/>
              </w:rPr>
              <w:t xml:space="preserve">   </w:t>
            </w:r>
            <w:r>
              <w:rPr>
                <w:rStyle w:val="19"/>
                <w:rFonts w:hint="eastAsia" w:asciiTheme="minorEastAsia" w:hAnsiTheme="minorEastAsia" w:eastAsiaTheme="minorEastAsia" w:cstheme="minorEastAsia"/>
                <w:sz w:val="21"/>
                <w:szCs w:val="21"/>
                <w:lang w:val="en-US" w:eastAsia="zh-CN" w:bidi="ar"/>
              </w:rPr>
              <w:t>目</w:t>
            </w:r>
          </w:p>
        </w:tc>
        <w:tc>
          <w:tcPr>
            <w:tcW w:w="210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年初结转和结余</w:t>
            </w:r>
          </w:p>
        </w:tc>
        <w:tc>
          <w:tcPr>
            <w:tcW w:w="2272"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本年收入</w:t>
            </w:r>
          </w:p>
        </w:tc>
        <w:tc>
          <w:tcPr>
            <w:tcW w:w="627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本年支出</w:t>
            </w:r>
          </w:p>
        </w:tc>
        <w:tc>
          <w:tcPr>
            <w:tcW w:w="218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年末结转和结余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9" w:hRule="atLeast"/>
        </w:trPr>
        <w:tc>
          <w:tcPr>
            <w:tcW w:w="1231"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科目代码</w:t>
            </w:r>
          </w:p>
        </w:tc>
        <w:tc>
          <w:tcPr>
            <w:tcW w:w="13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科目名称</w:t>
            </w:r>
          </w:p>
        </w:tc>
        <w:tc>
          <w:tcPr>
            <w:tcW w:w="210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color w:val="000000"/>
                <w:sz w:val="21"/>
                <w:szCs w:val="21"/>
                <w:u w:val="none"/>
              </w:rPr>
            </w:pPr>
          </w:p>
        </w:tc>
        <w:tc>
          <w:tcPr>
            <w:tcW w:w="227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color w:val="000000"/>
                <w:sz w:val="21"/>
                <w:szCs w:val="21"/>
                <w:u w:val="none"/>
              </w:rPr>
            </w:pPr>
          </w:p>
        </w:tc>
        <w:tc>
          <w:tcPr>
            <w:tcW w:w="209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小计</w:t>
            </w:r>
          </w:p>
        </w:tc>
        <w:tc>
          <w:tcPr>
            <w:tcW w:w="2094"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 xml:space="preserve">基本支出  </w:t>
            </w:r>
          </w:p>
        </w:tc>
        <w:tc>
          <w:tcPr>
            <w:tcW w:w="20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项目支出</w:t>
            </w:r>
          </w:p>
        </w:tc>
        <w:tc>
          <w:tcPr>
            <w:tcW w:w="21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123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color w:val="000000"/>
                <w:sz w:val="21"/>
                <w:szCs w:val="21"/>
                <w:u w:val="none"/>
              </w:rPr>
            </w:pPr>
          </w:p>
        </w:tc>
        <w:tc>
          <w:tcPr>
            <w:tcW w:w="13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color w:val="000000"/>
                <w:sz w:val="21"/>
                <w:szCs w:val="21"/>
                <w:u w:val="none"/>
              </w:rPr>
            </w:pPr>
          </w:p>
        </w:tc>
        <w:tc>
          <w:tcPr>
            <w:tcW w:w="210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color w:val="000000"/>
                <w:sz w:val="21"/>
                <w:szCs w:val="21"/>
                <w:u w:val="none"/>
              </w:rPr>
            </w:pPr>
          </w:p>
        </w:tc>
        <w:tc>
          <w:tcPr>
            <w:tcW w:w="227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color w:val="000000"/>
                <w:sz w:val="21"/>
                <w:szCs w:val="21"/>
                <w:u w:val="none"/>
              </w:rPr>
            </w:pPr>
          </w:p>
        </w:tc>
        <w:tc>
          <w:tcPr>
            <w:tcW w:w="209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color w:val="000000"/>
                <w:sz w:val="21"/>
                <w:szCs w:val="21"/>
                <w:u w:val="none"/>
              </w:rPr>
            </w:pPr>
          </w:p>
        </w:tc>
        <w:tc>
          <w:tcPr>
            <w:tcW w:w="209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color w:val="000000"/>
                <w:sz w:val="21"/>
                <w:szCs w:val="21"/>
                <w:u w:val="none"/>
              </w:rPr>
            </w:pPr>
          </w:p>
        </w:tc>
        <w:tc>
          <w:tcPr>
            <w:tcW w:w="20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color w:val="000000"/>
                <w:sz w:val="21"/>
                <w:szCs w:val="21"/>
                <w:u w:val="none"/>
              </w:rPr>
            </w:pPr>
          </w:p>
        </w:tc>
        <w:tc>
          <w:tcPr>
            <w:tcW w:w="21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9" w:hRule="atLeast"/>
        </w:trPr>
        <w:tc>
          <w:tcPr>
            <w:tcW w:w="123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color w:val="000000"/>
                <w:sz w:val="21"/>
                <w:szCs w:val="21"/>
                <w:u w:val="none"/>
              </w:rPr>
            </w:pPr>
          </w:p>
        </w:tc>
        <w:tc>
          <w:tcPr>
            <w:tcW w:w="13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color w:val="000000"/>
                <w:sz w:val="21"/>
                <w:szCs w:val="21"/>
                <w:u w:val="none"/>
              </w:rPr>
            </w:pPr>
          </w:p>
        </w:tc>
        <w:tc>
          <w:tcPr>
            <w:tcW w:w="210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color w:val="000000"/>
                <w:sz w:val="21"/>
                <w:szCs w:val="21"/>
                <w:u w:val="none"/>
              </w:rPr>
            </w:pPr>
          </w:p>
        </w:tc>
        <w:tc>
          <w:tcPr>
            <w:tcW w:w="227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color w:val="000000"/>
                <w:sz w:val="21"/>
                <w:szCs w:val="21"/>
                <w:u w:val="none"/>
              </w:rPr>
            </w:pPr>
          </w:p>
        </w:tc>
        <w:tc>
          <w:tcPr>
            <w:tcW w:w="209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color w:val="000000"/>
                <w:sz w:val="21"/>
                <w:szCs w:val="21"/>
                <w:u w:val="none"/>
              </w:rPr>
            </w:pPr>
          </w:p>
        </w:tc>
        <w:tc>
          <w:tcPr>
            <w:tcW w:w="209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color w:val="000000"/>
                <w:sz w:val="21"/>
                <w:szCs w:val="21"/>
                <w:u w:val="none"/>
              </w:rPr>
            </w:pPr>
          </w:p>
        </w:tc>
        <w:tc>
          <w:tcPr>
            <w:tcW w:w="20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color w:val="000000"/>
                <w:sz w:val="21"/>
                <w:szCs w:val="21"/>
                <w:u w:val="none"/>
              </w:rPr>
            </w:pPr>
          </w:p>
        </w:tc>
        <w:tc>
          <w:tcPr>
            <w:tcW w:w="21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9" w:hRule="atLeast"/>
        </w:trPr>
        <w:tc>
          <w:tcPr>
            <w:tcW w:w="26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栏次</w:t>
            </w:r>
          </w:p>
        </w:tc>
        <w:tc>
          <w:tcPr>
            <w:tcW w:w="21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w:t>
            </w:r>
          </w:p>
        </w:tc>
        <w:tc>
          <w:tcPr>
            <w:tcW w:w="22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w:t>
            </w: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w:t>
            </w:r>
          </w:p>
        </w:tc>
        <w:tc>
          <w:tcPr>
            <w:tcW w:w="20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w:t>
            </w: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5</w:t>
            </w:r>
          </w:p>
        </w:tc>
        <w:tc>
          <w:tcPr>
            <w:tcW w:w="21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9" w:hRule="atLeast"/>
        </w:trPr>
        <w:tc>
          <w:tcPr>
            <w:tcW w:w="261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合计</w:t>
            </w:r>
          </w:p>
        </w:tc>
        <w:tc>
          <w:tcPr>
            <w:tcW w:w="21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color w:val="000000"/>
                <w:sz w:val="21"/>
                <w:szCs w:val="21"/>
                <w:u w:val="none"/>
              </w:rPr>
            </w:pPr>
          </w:p>
        </w:tc>
        <w:tc>
          <w:tcPr>
            <w:tcW w:w="22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color w:val="000000"/>
                <w:sz w:val="21"/>
                <w:szCs w:val="21"/>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color w:val="000000"/>
                <w:sz w:val="21"/>
                <w:szCs w:val="21"/>
                <w:u w:val="none"/>
              </w:rPr>
            </w:pPr>
          </w:p>
        </w:tc>
        <w:tc>
          <w:tcPr>
            <w:tcW w:w="20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color w:val="000000"/>
                <w:sz w:val="21"/>
                <w:szCs w:val="21"/>
                <w:u w:val="none"/>
              </w:rPr>
            </w:pP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color w:val="000000"/>
                <w:sz w:val="21"/>
                <w:szCs w:val="21"/>
                <w:u w:val="none"/>
              </w:rPr>
            </w:pPr>
          </w:p>
        </w:tc>
        <w:tc>
          <w:tcPr>
            <w:tcW w:w="21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9" w:hRule="atLeast"/>
        </w:trPr>
        <w:tc>
          <w:tcPr>
            <w:tcW w:w="123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color w:val="000000"/>
                <w:sz w:val="21"/>
                <w:szCs w:val="21"/>
                <w:u w:val="none"/>
              </w:rPr>
            </w:pPr>
          </w:p>
        </w:tc>
        <w:tc>
          <w:tcPr>
            <w:tcW w:w="138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heme="minorEastAsia" w:hAnsiTheme="minorEastAsia" w:eastAsiaTheme="minorEastAsia" w:cstheme="minorEastAsia"/>
                <w:i w:val="0"/>
                <w:color w:val="000000"/>
                <w:sz w:val="21"/>
                <w:szCs w:val="21"/>
                <w:u w:val="none"/>
              </w:rPr>
            </w:pPr>
          </w:p>
        </w:tc>
        <w:tc>
          <w:tcPr>
            <w:tcW w:w="21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heme="minorEastAsia" w:hAnsiTheme="minorEastAsia" w:eastAsiaTheme="minorEastAsia" w:cstheme="minorEastAsia"/>
                <w:i w:val="0"/>
                <w:color w:val="000000"/>
                <w:sz w:val="21"/>
                <w:szCs w:val="21"/>
                <w:u w:val="none"/>
              </w:rPr>
            </w:pPr>
          </w:p>
        </w:tc>
        <w:tc>
          <w:tcPr>
            <w:tcW w:w="22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heme="minorEastAsia" w:hAnsiTheme="minorEastAsia" w:eastAsiaTheme="minorEastAsia" w:cstheme="minorEastAsia"/>
                <w:i w:val="0"/>
                <w:color w:val="000000"/>
                <w:sz w:val="21"/>
                <w:szCs w:val="21"/>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heme="minorEastAsia" w:hAnsiTheme="minorEastAsia" w:eastAsiaTheme="minorEastAsia" w:cstheme="minorEastAsia"/>
                <w:i w:val="0"/>
                <w:color w:val="000000"/>
                <w:sz w:val="21"/>
                <w:szCs w:val="21"/>
                <w:u w:val="none"/>
              </w:rPr>
            </w:pPr>
          </w:p>
        </w:tc>
        <w:tc>
          <w:tcPr>
            <w:tcW w:w="20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heme="minorEastAsia" w:hAnsiTheme="minorEastAsia" w:eastAsiaTheme="minorEastAsia" w:cstheme="minorEastAsia"/>
                <w:i w:val="0"/>
                <w:color w:val="000000"/>
                <w:sz w:val="21"/>
                <w:szCs w:val="21"/>
                <w:u w:val="none"/>
              </w:rPr>
            </w:pP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heme="minorEastAsia" w:hAnsiTheme="minorEastAsia" w:eastAsiaTheme="minorEastAsia" w:cstheme="minorEastAsia"/>
                <w:i w:val="0"/>
                <w:color w:val="000000"/>
                <w:sz w:val="21"/>
                <w:szCs w:val="21"/>
                <w:u w:val="none"/>
              </w:rPr>
            </w:pPr>
          </w:p>
        </w:tc>
        <w:tc>
          <w:tcPr>
            <w:tcW w:w="21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heme="minorEastAsia" w:hAnsiTheme="minorEastAsia" w:eastAsiaTheme="minorEastAsia" w:cstheme="minorEastAsia"/>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9" w:hRule="atLeast"/>
        </w:trPr>
        <w:tc>
          <w:tcPr>
            <w:tcW w:w="123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color w:val="000000"/>
                <w:sz w:val="21"/>
                <w:szCs w:val="21"/>
                <w:u w:val="none"/>
              </w:rPr>
            </w:pPr>
          </w:p>
        </w:tc>
        <w:tc>
          <w:tcPr>
            <w:tcW w:w="138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heme="minorEastAsia" w:hAnsiTheme="minorEastAsia" w:eastAsiaTheme="minorEastAsia" w:cstheme="minorEastAsia"/>
                <w:i w:val="0"/>
                <w:color w:val="000000"/>
                <w:sz w:val="21"/>
                <w:szCs w:val="21"/>
                <w:u w:val="none"/>
              </w:rPr>
            </w:pPr>
          </w:p>
        </w:tc>
        <w:tc>
          <w:tcPr>
            <w:tcW w:w="21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heme="minorEastAsia" w:hAnsiTheme="minorEastAsia" w:eastAsiaTheme="minorEastAsia" w:cstheme="minorEastAsia"/>
                <w:i w:val="0"/>
                <w:color w:val="000000"/>
                <w:sz w:val="21"/>
                <w:szCs w:val="21"/>
                <w:u w:val="none"/>
              </w:rPr>
            </w:pPr>
          </w:p>
        </w:tc>
        <w:tc>
          <w:tcPr>
            <w:tcW w:w="22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heme="minorEastAsia" w:hAnsiTheme="minorEastAsia" w:eastAsiaTheme="minorEastAsia" w:cstheme="minorEastAsia"/>
                <w:i w:val="0"/>
                <w:color w:val="000000"/>
                <w:sz w:val="21"/>
                <w:szCs w:val="21"/>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heme="minorEastAsia" w:hAnsiTheme="minorEastAsia" w:eastAsiaTheme="minorEastAsia" w:cstheme="minorEastAsia"/>
                <w:i w:val="0"/>
                <w:color w:val="000000"/>
                <w:sz w:val="21"/>
                <w:szCs w:val="21"/>
                <w:u w:val="none"/>
              </w:rPr>
            </w:pPr>
          </w:p>
        </w:tc>
        <w:tc>
          <w:tcPr>
            <w:tcW w:w="20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heme="minorEastAsia" w:hAnsiTheme="minorEastAsia" w:eastAsiaTheme="minorEastAsia" w:cstheme="minorEastAsia"/>
                <w:i w:val="0"/>
                <w:color w:val="000000"/>
                <w:sz w:val="21"/>
                <w:szCs w:val="21"/>
                <w:u w:val="none"/>
              </w:rPr>
            </w:pP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heme="minorEastAsia" w:hAnsiTheme="minorEastAsia" w:eastAsiaTheme="minorEastAsia" w:cstheme="minorEastAsia"/>
                <w:i w:val="0"/>
                <w:color w:val="000000"/>
                <w:sz w:val="21"/>
                <w:szCs w:val="21"/>
                <w:u w:val="none"/>
              </w:rPr>
            </w:pPr>
          </w:p>
        </w:tc>
        <w:tc>
          <w:tcPr>
            <w:tcW w:w="21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heme="minorEastAsia" w:hAnsiTheme="minorEastAsia" w:eastAsiaTheme="minorEastAsia" w:cstheme="minorEastAsia"/>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9" w:hRule="atLeast"/>
        </w:trPr>
        <w:tc>
          <w:tcPr>
            <w:tcW w:w="123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color w:val="000000"/>
                <w:sz w:val="21"/>
                <w:szCs w:val="21"/>
                <w:u w:val="none"/>
              </w:rPr>
            </w:pPr>
          </w:p>
        </w:tc>
        <w:tc>
          <w:tcPr>
            <w:tcW w:w="138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heme="minorEastAsia" w:hAnsiTheme="minorEastAsia" w:eastAsiaTheme="minorEastAsia" w:cstheme="minorEastAsia"/>
                <w:i w:val="0"/>
                <w:color w:val="000000"/>
                <w:sz w:val="21"/>
                <w:szCs w:val="21"/>
                <w:u w:val="none"/>
              </w:rPr>
            </w:pPr>
          </w:p>
        </w:tc>
        <w:tc>
          <w:tcPr>
            <w:tcW w:w="21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heme="minorEastAsia" w:hAnsiTheme="minorEastAsia" w:eastAsiaTheme="minorEastAsia" w:cstheme="minorEastAsia"/>
                <w:i w:val="0"/>
                <w:color w:val="000000"/>
                <w:sz w:val="21"/>
                <w:szCs w:val="21"/>
                <w:u w:val="none"/>
              </w:rPr>
            </w:pPr>
          </w:p>
        </w:tc>
        <w:tc>
          <w:tcPr>
            <w:tcW w:w="22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heme="minorEastAsia" w:hAnsiTheme="minorEastAsia" w:eastAsiaTheme="minorEastAsia" w:cstheme="minorEastAsia"/>
                <w:i w:val="0"/>
                <w:color w:val="000000"/>
                <w:sz w:val="21"/>
                <w:szCs w:val="21"/>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heme="minorEastAsia" w:hAnsiTheme="minorEastAsia" w:eastAsiaTheme="minorEastAsia" w:cstheme="minorEastAsia"/>
                <w:i w:val="0"/>
                <w:color w:val="000000"/>
                <w:sz w:val="21"/>
                <w:szCs w:val="21"/>
                <w:u w:val="none"/>
              </w:rPr>
            </w:pPr>
          </w:p>
        </w:tc>
        <w:tc>
          <w:tcPr>
            <w:tcW w:w="20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heme="minorEastAsia" w:hAnsiTheme="minorEastAsia" w:eastAsiaTheme="minorEastAsia" w:cstheme="minorEastAsia"/>
                <w:i w:val="0"/>
                <w:color w:val="000000"/>
                <w:sz w:val="21"/>
                <w:szCs w:val="21"/>
                <w:u w:val="none"/>
              </w:rPr>
            </w:pP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heme="minorEastAsia" w:hAnsiTheme="minorEastAsia" w:eastAsiaTheme="minorEastAsia" w:cstheme="minorEastAsia"/>
                <w:i w:val="0"/>
                <w:color w:val="000000"/>
                <w:sz w:val="21"/>
                <w:szCs w:val="21"/>
                <w:u w:val="none"/>
              </w:rPr>
            </w:pPr>
          </w:p>
        </w:tc>
        <w:tc>
          <w:tcPr>
            <w:tcW w:w="21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heme="minorEastAsia" w:hAnsiTheme="minorEastAsia" w:eastAsiaTheme="minorEastAsia" w:cstheme="minorEastAsia"/>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9" w:hRule="atLeast"/>
        </w:trPr>
        <w:tc>
          <w:tcPr>
            <w:tcW w:w="123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color w:val="000000"/>
                <w:sz w:val="21"/>
                <w:szCs w:val="21"/>
                <w:u w:val="none"/>
              </w:rPr>
            </w:pPr>
          </w:p>
        </w:tc>
        <w:tc>
          <w:tcPr>
            <w:tcW w:w="138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heme="minorEastAsia" w:hAnsiTheme="minorEastAsia" w:eastAsiaTheme="minorEastAsia" w:cstheme="minorEastAsia"/>
                <w:i w:val="0"/>
                <w:color w:val="000000"/>
                <w:sz w:val="21"/>
                <w:szCs w:val="21"/>
                <w:u w:val="none"/>
              </w:rPr>
            </w:pPr>
          </w:p>
        </w:tc>
        <w:tc>
          <w:tcPr>
            <w:tcW w:w="21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heme="minorEastAsia" w:hAnsiTheme="minorEastAsia" w:eastAsiaTheme="minorEastAsia" w:cstheme="minorEastAsia"/>
                <w:i w:val="0"/>
                <w:color w:val="000000"/>
                <w:sz w:val="21"/>
                <w:szCs w:val="21"/>
                <w:u w:val="none"/>
              </w:rPr>
            </w:pPr>
          </w:p>
        </w:tc>
        <w:tc>
          <w:tcPr>
            <w:tcW w:w="22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heme="minorEastAsia" w:hAnsiTheme="minorEastAsia" w:eastAsiaTheme="minorEastAsia" w:cstheme="minorEastAsia"/>
                <w:i w:val="0"/>
                <w:color w:val="000000"/>
                <w:sz w:val="21"/>
                <w:szCs w:val="21"/>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heme="minorEastAsia" w:hAnsiTheme="minorEastAsia" w:eastAsiaTheme="minorEastAsia" w:cstheme="minorEastAsia"/>
                <w:i w:val="0"/>
                <w:color w:val="000000"/>
                <w:sz w:val="21"/>
                <w:szCs w:val="21"/>
                <w:u w:val="none"/>
              </w:rPr>
            </w:pPr>
          </w:p>
        </w:tc>
        <w:tc>
          <w:tcPr>
            <w:tcW w:w="20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heme="minorEastAsia" w:hAnsiTheme="minorEastAsia" w:eastAsiaTheme="minorEastAsia" w:cstheme="minorEastAsia"/>
                <w:i w:val="0"/>
                <w:color w:val="000000"/>
                <w:sz w:val="21"/>
                <w:szCs w:val="21"/>
                <w:u w:val="none"/>
              </w:rPr>
            </w:pP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heme="minorEastAsia" w:hAnsiTheme="minorEastAsia" w:eastAsiaTheme="minorEastAsia" w:cstheme="minorEastAsia"/>
                <w:i w:val="0"/>
                <w:color w:val="000000"/>
                <w:sz w:val="21"/>
                <w:szCs w:val="21"/>
                <w:u w:val="none"/>
              </w:rPr>
            </w:pPr>
          </w:p>
        </w:tc>
        <w:tc>
          <w:tcPr>
            <w:tcW w:w="21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heme="minorEastAsia" w:hAnsiTheme="minorEastAsia" w:eastAsiaTheme="minorEastAsia" w:cstheme="minorEastAsia"/>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9" w:hRule="atLeast"/>
        </w:trPr>
        <w:tc>
          <w:tcPr>
            <w:tcW w:w="123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color w:val="000000"/>
                <w:sz w:val="21"/>
                <w:szCs w:val="21"/>
                <w:u w:val="none"/>
              </w:rPr>
            </w:pPr>
          </w:p>
        </w:tc>
        <w:tc>
          <w:tcPr>
            <w:tcW w:w="138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heme="minorEastAsia" w:hAnsiTheme="minorEastAsia" w:eastAsiaTheme="minorEastAsia" w:cstheme="minorEastAsia"/>
                <w:i w:val="0"/>
                <w:color w:val="000000"/>
                <w:sz w:val="21"/>
                <w:szCs w:val="21"/>
                <w:u w:val="none"/>
              </w:rPr>
            </w:pPr>
          </w:p>
        </w:tc>
        <w:tc>
          <w:tcPr>
            <w:tcW w:w="21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heme="minorEastAsia" w:hAnsiTheme="minorEastAsia" w:eastAsiaTheme="minorEastAsia" w:cstheme="minorEastAsia"/>
                <w:i w:val="0"/>
                <w:color w:val="000000"/>
                <w:sz w:val="21"/>
                <w:szCs w:val="21"/>
                <w:u w:val="none"/>
              </w:rPr>
            </w:pPr>
          </w:p>
        </w:tc>
        <w:tc>
          <w:tcPr>
            <w:tcW w:w="22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heme="minorEastAsia" w:hAnsiTheme="minorEastAsia" w:eastAsiaTheme="minorEastAsia" w:cstheme="minorEastAsia"/>
                <w:i w:val="0"/>
                <w:color w:val="000000"/>
                <w:sz w:val="21"/>
                <w:szCs w:val="21"/>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heme="minorEastAsia" w:hAnsiTheme="minorEastAsia" w:eastAsiaTheme="minorEastAsia" w:cstheme="minorEastAsia"/>
                <w:i w:val="0"/>
                <w:color w:val="000000"/>
                <w:sz w:val="21"/>
                <w:szCs w:val="21"/>
                <w:u w:val="none"/>
              </w:rPr>
            </w:pPr>
          </w:p>
        </w:tc>
        <w:tc>
          <w:tcPr>
            <w:tcW w:w="20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heme="minorEastAsia" w:hAnsiTheme="minorEastAsia" w:eastAsiaTheme="minorEastAsia" w:cstheme="minorEastAsia"/>
                <w:i w:val="0"/>
                <w:color w:val="000000"/>
                <w:sz w:val="21"/>
                <w:szCs w:val="21"/>
                <w:u w:val="none"/>
              </w:rPr>
            </w:pP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heme="minorEastAsia" w:hAnsiTheme="minorEastAsia" w:eastAsiaTheme="minorEastAsia" w:cstheme="minorEastAsia"/>
                <w:i w:val="0"/>
                <w:color w:val="000000"/>
                <w:sz w:val="21"/>
                <w:szCs w:val="21"/>
                <w:u w:val="none"/>
              </w:rPr>
            </w:pPr>
          </w:p>
        </w:tc>
        <w:tc>
          <w:tcPr>
            <w:tcW w:w="21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heme="minorEastAsia" w:hAnsiTheme="minorEastAsia" w:eastAsiaTheme="minorEastAsia" w:cstheme="minorEastAsia"/>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9" w:hRule="atLeast"/>
        </w:trPr>
        <w:tc>
          <w:tcPr>
            <w:tcW w:w="123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color w:val="000000"/>
                <w:sz w:val="21"/>
                <w:szCs w:val="21"/>
                <w:u w:val="none"/>
              </w:rPr>
            </w:pPr>
          </w:p>
        </w:tc>
        <w:tc>
          <w:tcPr>
            <w:tcW w:w="138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heme="minorEastAsia" w:hAnsiTheme="minorEastAsia" w:eastAsiaTheme="minorEastAsia" w:cstheme="minorEastAsia"/>
                <w:i w:val="0"/>
                <w:color w:val="000000"/>
                <w:sz w:val="21"/>
                <w:szCs w:val="21"/>
                <w:u w:val="none"/>
              </w:rPr>
            </w:pPr>
          </w:p>
        </w:tc>
        <w:tc>
          <w:tcPr>
            <w:tcW w:w="21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heme="minorEastAsia" w:hAnsiTheme="minorEastAsia" w:eastAsiaTheme="minorEastAsia" w:cstheme="minorEastAsia"/>
                <w:i w:val="0"/>
                <w:color w:val="000000"/>
                <w:sz w:val="21"/>
                <w:szCs w:val="21"/>
                <w:u w:val="none"/>
              </w:rPr>
            </w:pPr>
          </w:p>
        </w:tc>
        <w:tc>
          <w:tcPr>
            <w:tcW w:w="22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heme="minorEastAsia" w:hAnsiTheme="minorEastAsia" w:eastAsiaTheme="minorEastAsia" w:cstheme="minorEastAsia"/>
                <w:i w:val="0"/>
                <w:color w:val="000000"/>
                <w:sz w:val="21"/>
                <w:szCs w:val="21"/>
                <w:u w:val="none"/>
              </w:rPr>
            </w:pPr>
          </w:p>
        </w:tc>
        <w:tc>
          <w:tcPr>
            <w:tcW w:w="20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heme="minorEastAsia" w:hAnsiTheme="minorEastAsia" w:eastAsiaTheme="minorEastAsia" w:cstheme="minorEastAsia"/>
                <w:i w:val="0"/>
                <w:color w:val="000000"/>
                <w:sz w:val="21"/>
                <w:szCs w:val="21"/>
                <w:u w:val="none"/>
              </w:rPr>
            </w:pPr>
          </w:p>
        </w:tc>
        <w:tc>
          <w:tcPr>
            <w:tcW w:w="209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heme="minorEastAsia" w:hAnsiTheme="minorEastAsia" w:eastAsiaTheme="minorEastAsia" w:cstheme="minorEastAsia"/>
                <w:i w:val="0"/>
                <w:color w:val="000000"/>
                <w:sz w:val="21"/>
                <w:szCs w:val="21"/>
                <w:u w:val="none"/>
              </w:rPr>
            </w:pPr>
          </w:p>
        </w:tc>
        <w:tc>
          <w:tcPr>
            <w:tcW w:w="209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heme="minorEastAsia" w:hAnsiTheme="minorEastAsia" w:eastAsiaTheme="minorEastAsia" w:cstheme="minorEastAsia"/>
                <w:i w:val="0"/>
                <w:color w:val="000000"/>
                <w:sz w:val="21"/>
                <w:szCs w:val="21"/>
                <w:u w:val="none"/>
              </w:rPr>
            </w:pPr>
          </w:p>
        </w:tc>
        <w:tc>
          <w:tcPr>
            <w:tcW w:w="21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heme="minorEastAsia" w:hAnsiTheme="minorEastAsia" w:eastAsiaTheme="minorEastAsia" w:cstheme="minorEastAsia"/>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5" w:hRule="atLeast"/>
        </w:trPr>
        <w:tc>
          <w:tcPr>
            <w:tcW w:w="15452" w:type="dxa"/>
            <w:gridSpan w:val="17"/>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b w:val="0"/>
                <w:bCs w:val="0"/>
                <w:i w:val="0"/>
                <w:color w:val="auto"/>
                <w:kern w:val="0"/>
                <w:sz w:val="24"/>
                <w:szCs w:val="24"/>
                <w:u w:val="none"/>
                <w:lang w:val="en-US" w:eastAsia="zh-CN" w:bidi="ar"/>
              </w:rPr>
            </w:pPr>
            <w:r>
              <w:rPr>
                <w:rFonts w:hint="eastAsia" w:asciiTheme="minorEastAsia" w:hAnsiTheme="minorEastAsia" w:eastAsiaTheme="minorEastAsia" w:cstheme="minorEastAsia"/>
                <w:b w:val="0"/>
                <w:bCs w:val="0"/>
                <w:i w:val="0"/>
                <w:color w:val="auto"/>
                <w:kern w:val="0"/>
                <w:sz w:val="24"/>
                <w:szCs w:val="24"/>
                <w:u w:val="none"/>
                <w:lang w:val="en-US" w:eastAsia="zh-CN" w:bidi="ar"/>
              </w:rPr>
              <w:t>注：本表反映部门本年度政府性基金预算财政拨款收入、支出及结转和结余情况。</w:t>
            </w:r>
          </w:p>
          <w:p>
            <w:pPr>
              <w:keepNext w:val="0"/>
              <w:keepLines w:val="0"/>
              <w:widowControl/>
              <w:suppressLineNumbers w:val="0"/>
              <w:jc w:val="left"/>
              <w:textAlignment w:val="center"/>
              <w:rPr>
                <w:rFonts w:hint="eastAsia" w:ascii="楷体" w:hAnsi="楷体" w:eastAsia="楷体" w:cs="楷体"/>
                <w:b/>
                <w:bCs/>
                <w:i w:val="0"/>
                <w:color w:val="auto"/>
                <w:kern w:val="0"/>
                <w:sz w:val="24"/>
                <w:szCs w:val="24"/>
                <w:u w:val="none"/>
                <w:lang w:val="en-US" w:eastAsia="zh-CN" w:bidi="ar"/>
              </w:rPr>
            </w:pPr>
          </w:p>
          <w:p>
            <w:pPr>
              <w:keepNext w:val="0"/>
              <w:keepLines w:val="0"/>
              <w:widowControl/>
              <w:suppressLineNumbers w:val="0"/>
              <w:jc w:val="left"/>
              <w:textAlignment w:val="center"/>
              <w:rPr>
                <w:rFonts w:hint="eastAsia" w:ascii="楷体" w:hAnsi="楷体" w:eastAsia="楷体" w:cs="楷体"/>
                <w:b/>
                <w:bCs/>
                <w:i w:val="0"/>
                <w:color w:val="auto"/>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说明：我单位没有政府性基金收入，也没有使用政府性基金安排的支出，故本表无数据。</w:t>
            </w:r>
          </w:p>
        </w:tc>
      </w:tr>
    </w:tbl>
    <w:p>
      <w:pPr>
        <w:widowControl/>
        <w:jc w:val="center"/>
        <w:rPr>
          <w:rFonts w:hint="eastAsia" w:ascii="Times New Roman" w:hAnsi="Times New Roman" w:eastAsia="方正小标宋_GBK" w:cs="Times New Roman"/>
          <w:color w:val="000000"/>
          <w:kern w:val="0"/>
          <w:sz w:val="36"/>
          <w:szCs w:val="36"/>
        </w:rPr>
      </w:pPr>
    </w:p>
    <w:p>
      <w:pPr>
        <w:widowControl/>
        <w:jc w:val="center"/>
        <w:rPr>
          <w:rFonts w:hint="eastAsia" w:ascii="Times New Roman" w:hAnsi="Times New Roman" w:eastAsia="方正小标宋_GBK" w:cs="Times New Roman"/>
          <w:color w:val="000000"/>
          <w:kern w:val="0"/>
          <w:sz w:val="36"/>
          <w:szCs w:val="36"/>
        </w:rPr>
      </w:pPr>
    </w:p>
    <w:tbl>
      <w:tblPr>
        <w:tblStyle w:val="11"/>
        <w:tblW w:w="1512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26"/>
        <w:gridCol w:w="701"/>
        <w:gridCol w:w="2292"/>
        <w:gridCol w:w="3315"/>
        <w:gridCol w:w="3315"/>
        <w:gridCol w:w="417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3" w:hRule="atLeast"/>
          <w:jc w:val="center"/>
        </w:trPr>
        <w:tc>
          <w:tcPr>
            <w:tcW w:w="15120" w:type="dxa"/>
            <w:gridSpan w:val="6"/>
            <w:tcBorders>
              <w:top w:val="nil"/>
              <w:left w:val="nil"/>
              <w:bottom w:val="nil"/>
              <w:right w:val="nil"/>
            </w:tcBorders>
            <w:shd w:val="clear" w:color="auto" w:fill="FFFFFF"/>
            <w:vAlign w:val="center"/>
          </w:tcPr>
          <w:p>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国有资本经营预算财政拨款支出决算表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7" w:hRule="atLeast"/>
          <w:jc w:val="center"/>
        </w:trPr>
        <w:tc>
          <w:tcPr>
            <w:tcW w:w="1326"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701"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2292"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公开08表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jc w:val="center"/>
        </w:trPr>
        <w:tc>
          <w:tcPr>
            <w:tcW w:w="7634" w:type="dxa"/>
            <w:gridSpan w:val="4"/>
            <w:tcBorders>
              <w:top w:val="nil"/>
              <w:left w:val="nil"/>
              <w:bottom w:val="nil"/>
              <w:right w:val="nil"/>
            </w:tcBorders>
            <w:shd w:val="clear" w:color="auto" w:fill="FFFFFF"/>
            <w:noWrap/>
            <w:vAlign w:val="center"/>
          </w:tcPr>
          <w:p>
            <w:pP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部门：怀化市民族宗教事务局</w:t>
            </w:r>
          </w:p>
        </w:tc>
        <w:tc>
          <w:tcPr>
            <w:tcW w:w="3315"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jc w:val="center"/>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 xml:space="preserve">项    </w:t>
            </w:r>
            <w:r>
              <w:rPr>
                <w:rStyle w:val="20"/>
                <w:sz w:val="21"/>
                <w:szCs w:val="21"/>
                <w:lang w:val="en-US" w:eastAsia="zh-CN" w:bidi="ar"/>
              </w:rPr>
              <w:t>目</w:t>
            </w:r>
          </w:p>
        </w:tc>
        <w:tc>
          <w:tcPr>
            <w:tcW w:w="10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本年支出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jc w:val="center"/>
        </w:trPr>
        <w:tc>
          <w:tcPr>
            <w:tcW w:w="20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科目代码</w:t>
            </w:r>
          </w:p>
        </w:tc>
        <w:tc>
          <w:tcPr>
            <w:tcW w:w="22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科目名称</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合计</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 xml:space="preserve">基本支出  </w:t>
            </w:r>
          </w:p>
        </w:tc>
        <w:tc>
          <w:tcPr>
            <w:tcW w:w="41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jc w:val="center"/>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jc w:val="center"/>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jc w:val="center"/>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栏次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w:t>
            </w: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jc w:val="center"/>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合计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jc w:val="center"/>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1"/>
                <w:szCs w:val="21"/>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1"/>
                <w:szCs w:val="21"/>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1"/>
                <w:szCs w:val="21"/>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jc w:val="center"/>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1"/>
                <w:szCs w:val="21"/>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1"/>
                <w:szCs w:val="21"/>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1"/>
                <w:szCs w:val="21"/>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jc w:val="center"/>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1"/>
                <w:szCs w:val="21"/>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1"/>
                <w:szCs w:val="21"/>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1"/>
                <w:szCs w:val="21"/>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jc w:val="center"/>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1"/>
                <w:szCs w:val="21"/>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1"/>
                <w:szCs w:val="21"/>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1"/>
                <w:szCs w:val="21"/>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jc w:val="center"/>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1"/>
                <w:szCs w:val="21"/>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1"/>
                <w:szCs w:val="21"/>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1"/>
                <w:szCs w:val="21"/>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jc w:val="center"/>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1"/>
                <w:szCs w:val="21"/>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1"/>
                <w:szCs w:val="21"/>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1"/>
                <w:szCs w:val="21"/>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1"/>
                <w:szCs w:val="21"/>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6" w:hRule="atLeast"/>
          <w:jc w:val="center"/>
        </w:trPr>
        <w:tc>
          <w:tcPr>
            <w:tcW w:w="15120" w:type="dxa"/>
            <w:gridSpan w:val="6"/>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注：本表反映部门本年度国有资本经营预算财政拨款支出情况。</w:t>
            </w:r>
          </w:p>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说明：我单位没有使用国有资本经营预算安排的支出，故本表无数据。</w:t>
            </w:r>
          </w:p>
        </w:tc>
      </w:tr>
    </w:tbl>
    <w:p>
      <w:pPr>
        <w:widowControl/>
        <w:jc w:val="center"/>
        <w:rPr>
          <w:rFonts w:hint="eastAsia" w:ascii="Times New Roman" w:hAnsi="Times New Roman" w:eastAsia="方正小标宋_GBK" w:cs="Times New Roman"/>
          <w:color w:val="000000"/>
          <w:kern w:val="0"/>
          <w:sz w:val="36"/>
          <w:szCs w:val="36"/>
        </w:rPr>
      </w:pPr>
    </w:p>
    <w:tbl>
      <w:tblPr>
        <w:tblStyle w:val="11"/>
        <w:tblW w:w="151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60"/>
        <w:gridCol w:w="1261"/>
        <w:gridCol w:w="1261"/>
        <w:gridCol w:w="1261"/>
        <w:gridCol w:w="1261"/>
        <w:gridCol w:w="1261"/>
        <w:gridCol w:w="1261"/>
        <w:gridCol w:w="1261"/>
        <w:gridCol w:w="1261"/>
        <w:gridCol w:w="1261"/>
        <w:gridCol w:w="1261"/>
        <w:gridCol w:w="127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jc w:val="center"/>
        </w:trPr>
        <w:tc>
          <w:tcPr>
            <w:tcW w:w="15140" w:type="dxa"/>
            <w:gridSpan w:val="12"/>
            <w:tcBorders>
              <w:top w:val="nil"/>
              <w:left w:val="nil"/>
              <w:bottom w:val="nil"/>
              <w:right w:val="nil"/>
            </w:tcBorders>
            <w:shd w:val="clear" w:color="auto" w:fill="FFFFFF"/>
            <w:vAlign w:val="center"/>
          </w:tcPr>
          <w:p>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财政拨款“三公”经费支出决算表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1260"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公开09表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6304" w:type="dxa"/>
            <w:gridSpan w:val="5"/>
            <w:tcBorders>
              <w:top w:val="nil"/>
              <w:left w:val="nil"/>
              <w:bottom w:val="nil"/>
              <w:right w:val="nil"/>
            </w:tcBorders>
            <w:shd w:val="clear" w:color="auto" w:fill="FFFFFF"/>
            <w:noWrap/>
            <w:vAlign w:val="center"/>
          </w:tcPr>
          <w:p>
            <w:pP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部门：怀化市民族宗教事务局</w:t>
            </w: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jc w:val="center"/>
        </w:trPr>
        <w:tc>
          <w:tcPr>
            <w:tcW w:w="75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预算数</w:t>
            </w:r>
          </w:p>
        </w:tc>
        <w:tc>
          <w:tcPr>
            <w:tcW w:w="757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2" w:hRule="atLeast"/>
          <w:jc w:val="center"/>
        </w:trPr>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公务用车购置及运行维护费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公务接待费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公务用车购置及运行维护费</w:t>
            </w:r>
          </w:p>
        </w:tc>
        <w:tc>
          <w:tcPr>
            <w:tcW w:w="12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公务接待费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4" w:hRule="atLeast"/>
          <w:jc w:val="center"/>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color w:val="000000"/>
                <w:sz w:val="21"/>
                <w:szCs w:val="21"/>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color w:val="000000"/>
                <w:sz w:val="21"/>
                <w:szCs w:val="21"/>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1"/>
                <w:szCs w:val="21"/>
                <w:u w:val="none"/>
                <w:lang w:val="en-US" w:eastAsia="zh-CN" w:bidi="ar"/>
              </w:rPr>
            </w:pPr>
            <w:r>
              <w:rPr>
                <w:rFonts w:hint="eastAsia" w:asciiTheme="minorEastAsia" w:hAnsiTheme="minorEastAsia" w:eastAsiaTheme="minorEastAsia" w:cstheme="minorEastAsia"/>
                <w:i w:val="0"/>
                <w:color w:val="000000"/>
                <w:kern w:val="0"/>
                <w:sz w:val="21"/>
                <w:szCs w:val="21"/>
                <w:u w:val="none"/>
                <w:lang w:val="en-US" w:eastAsia="zh-CN" w:bidi="ar"/>
              </w:rPr>
              <w:t>公务用车</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1"/>
                <w:szCs w:val="21"/>
                <w:u w:val="none"/>
                <w:lang w:val="en-US" w:eastAsia="zh-CN" w:bidi="ar"/>
              </w:rPr>
            </w:pPr>
            <w:r>
              <w:rPr>
                <w:rFonts w:hint="eastAsia" w:asciiTheme="minorEastAsia" w:hAnsiTheme="minorEastAsia" w:eastAsiaTheme="minorEastAsia" w:cstheme="minorEastAsia"/>
                <w:i w:val="0"/>
                <w:color w:val="000000"/>
                <w:kern w:val="0"/>
                <w:sz w:val="21"/>
                <w:szCs w:val="21"/>
                <w:u w:val="none"/>
                <w:lang w:val="en-US" w:eastAsia="zh-CN" w:bidi="ar"/>
              </w:rPr>
              <w:t>公务用车</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运行维护费</w:t>
            </w: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color w:val="000000"/>
                <w:sz w:val="21"/>
                <w:szCs w:val="21"/>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color w:val="000000"/>
                <w:sz w:val="21"/>
                <w:szCs w:val="21"/>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color w:val="000000"/>
                <w:sz w:val="21"/>
                <w:szCs w:val="21"/>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1"/>
                <w:szCs w:val="21"/>
                <w:u w:val="none"/>
                <w:lang w:val="en-US" w:eastAsia="zh-CN" w:bidi="ar"/>
              </w:rPr>
            </w:pPr>
            <w:r>
              <w:rPr>
                <w:rFonts w:hint="eastAsia" w:asciiTheme="minorEastAsia" w:hAnsiTheme="minorEastAsia" w:eastAsiaTheme="minorEastAsia" w:cstheme="minorEastAsia"/>
                <w:i w:val="0"/>
                <w:color w:val="000000"/>
                <w:kern w:val="0"/>
                <w:sz w:val="21"/>
                <w:szCs w:val="21"/>
                <w:u w:val="none"/>
                <w:lang w:val="en-US" w:eastAsia="zh-CN" w:bidi="ar"/>
              </w:rPr>
              <w:t>公务用车</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1"/>
                <w:szCs w:val="21"/>
                <w:u w:val="none"/>
                <w:lang w:val="en-US" w:eastAsia="zh-CN" w:bidi="ar"/>
              </w:rPr>
            </w:pPr>
            <w:r>
              <w:rPr>
                <w:rFonts w:hint="eastAsia" w:asciiTheme="minorEastAsia" w:hAnsiTheme="minorEastAsia" w:eastAsiaTheme="minorEastAsia" w:cstheme="minorEastAsia"/>
                <w:i w:val="0"/>
                <w:color w:val="000000"/>
                <w:kern w:val="0"/>
                <w:sz w:val="21"/>
                <w:szCs w:val="21"/>
                <w:u w:val="none"/>
                <w:lang w:val="en-US" w:eastAsia="zh-CN" w:bidi="ar"/>
              </w:rPr>
              <w:t>公务用车</w:t>
            </w:r>
          </w:p>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运行维护费</w:t>
            </w:r>
          </w:p>
        </w:tc>
        <w:tc>
          <w:tcPr>
            <w:tcW w:w="12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jc w:val="center"/>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6</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7</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9</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11</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5" w:hRule="atLeast"/>
          <w:jc w:val="center"/>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heme="minorEastAsia" w:hAnsiTheme="minorEastAsia" w:eastAsiaTheme="minorEastAsia" w:cstheme="minorEastAsia"/>
                <w:i w:val="0"/>
                <w:color w:val="000000"/>
                <w:sz w:val="21"/>
                <w:szCs w:val="21"/>
                <w:u w:val="none"/>
                <w:lang w:val="en-US" w:eastAsia="zh-CN"/>
              </w:rPr>
            </w:pPr>
            <w:r>
              <w:rPr>
                <w:rFonts w:hint="eastAsia" w:asciiTheme="minorEastAsia" w:hAnsiTheme="minorEastAsia" w:eastAsiaTheme="minorEastAsia" w:cstheme="minorEastAsia"/>
                <w:b/>
                <w:bCs/>
                <w:i w:val="0"/>
                <w:color w:val="000000"/>
                <w:sz w:val="21"/>
                <w:szCs w:val="21"/>
                <w:u w:val="none"/>
                <w:lang w:val="en-US" w:eastAsia="zh-CN"/>
              </w:rPr>
              <w:t>9.04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heme="minorEastAsia" w:hAnsiTheme="minorEastAsia" w:eastAsiaTheme="minorEastAsia" w:cstheme="minorEastAsia"/>
                <w:i w:val="0"/>
                <w:color w:val="000000"/>
                <w:sz w:val="21"/>
                <w:szCs w:val="21"/>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heme="minorEastAsia" w:hAnsiTheme="minorEastAsia" w:eastAsiaTheme="minorEastAsia" w:cstheme="minorEastAsia"/>
                <w:i w:val="0"/>
                <w:color w:val="000000"/>
                <w:sz w:val="21"/>
                <w:szCs w:val="21"/>
                <w:u w:val="none"/>
                <w:lang w:val="en-US" w:eastAsia="zh-CN"/>
              </w:rPr>
            </w:pPr>
            <w:r>
              <w:rPr>
                <w:rFonts w:hint="eastAsia" w:asciiTheme="minorEastAsia" w:hAnsiTheme="minorEastAsia" w:eastAsiaTheme="minorEastAsia" w:cstheme="minorEastAsia"/>
                <w:b/>
                <w:bCs/>
                <w:i w:val="0"/>
                <w:color w:val="000000"/>
                <w:sz w:val="21"/>
                <w:szCs w:val="21"/>
                <w:u w:val="none"/>
                <w:lang w:val="en-US" w:eastAsia="zh-CN"/>
              </w:rPr>
              <w:t>5.04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heme="minorEastAsia" w:hAnsiTheme="minorEastAsia" w:eastAsiaTheme="minorEastAsia" w:cstheme="minorEastAsia"/>
                <w:i w:val="0"/>
                <w:color w:val="000000"/>
                <w:sz w:val="21"/>
                <w:szCs w:val="21"/>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heme="minorEastAsia" w:hAnsiTheme="minorEastAsia" w:eastAsiaTheme="minorEastAsia" w:cstheme="minorEastAsia"/>
                <w:i w:val="0"/>
                <w:color w:val="000000"/>
                <w:sz w:val="21"/>
                <w:szCs w:val="21"/>
                <w:u w:val="none"/>
                <w:lang w:val="en-US" w:eastAsia="zh-CN"/>
              </w:rPr>
            </w:pPr>
            <w:r>
              <w:rPr>
                <w:rFonts w:hint="eastAsia" w:asciiTheme="minorEastAsia" w:hAnsiTheme="minorEastAsia" w:eastAsiaTheme="minorEastAsia" w:cstheme="minorEastAsia"/>
                <w:i w:val="0"/>
                <w:color w:val="000000"/>
                <w:sz w:val="21"/>
                <w:szCs w:val="21"/>
                <w:u w:val="none"/>
                <w:lang w:val="en-US" w:eastAsia="zh-CN"/>
              </w:rPr>
              <w:t>5.04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heme="minorEastAsia" w:hAnsiTheme="minorEastAsia" w:eastAsiaTheme="minorEastAsia" w:cstheme="minorEastAsia"/>
                <w:i w:val="0"/>
                <w:color w:val="000000"/>
                <w:sz w:val="21"/>
                <w:szCs w:val="21"/>
                <w:u w:val="none"/>
                <w:lang w:val="en-US" w:eastAsia="zh-CN"/>
              </w:rPr>
            </w:pPr>
            <w:r>
              <w:rPr>
                <w:rFonts w:hint="eastAsia" w:asciiTheme="minorEastAsia" w:hAnsiTheme="minorEastAsia" w:eastAsiaTheme="minorEastAsia" w:cstheme="minorEastAsia"/>
                <w:i w:val="0"/>
                <w:color w:val="000000"/>
                <w:sz w:val="21"/>
                <w:szCs w:val="21"/>
                <w:u w:val="none"/>
                <w:lang w:val="en-US" w:eastAsia="zh-CN"/>
              </w:rPr>
              <w:t>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heme="minorEastAsia" w:hAnsiTheme="minorEastAsia" w:eastAsiaTheme="minorEastAsia" w:cstheme="minorEastAsia"/>
                <w:i w:val="0"/>
                <w:color w:val="000000"/>
                <w:sz w:val="21"/>
                <w:szCs w:val="21"/>
                <w:u w:val="none"/>
                <w:lang w:val="en-US" w:eastAsia="zh-CN"/>
              </w:rPr>
            </w:pPr>
            <w:r>
              <w:rPr>
                <w:rFonts w:hint="eastAsia" w:asciiTheme="minorEastAsia" w:hAnsiTheme="minorEastAsia" w:eastAsiaTheme="minorEastAsia" w:cstheme="minorEastAsia"/>
                <w:b/>
                <w:bCs/>
                <w:i w:val="0"/>
                <w:color w:val="000000"/>
                <w:sz w:val="21"/>
                <w:szCs w:val="21"/>
                <w:u w:val="none"/>
                <w:lang w:val="en-US" w:eastAsia="zh-CN"/>
              </w:rPr>
              <w:t>8.49</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heme="minorEastAsia" w:hAnsiTheme="minorEastAsia" w:eastAsiaTheme="minorEastAsia" w:cstheme="minorEastAsia"/>
                <w:i w:val="0"/>
                <w:color w:val="000000"/>
                <w:sz w:val="21"/>
                <w:szCs w:val="21"/>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heme="minorEastAsia" w:hAnsiTheme="minorEastAsia" w:eastAsiaTheme="minorEastAsia" w:cstheme="minorEastAsia"/>
                <w:i w:val="0"/>
                <w:color w:val="000000"/>
                <w:sz w:val="21"/>
                <w:szCs w:val="21"/>
                <w:u w:val="none"/>
                <w:lang w:val="en-US" w:eastAsia="zh-CN"/>
              </w:rPr>
            </w:pPr>
            <w:r>
              <w:rPr>
                <w:rFonts w:hint="eastAsia" w:asciiTheme="minorEastAsia" w:hAnsiTheme="minorEastAsia" w:eastAsiaTheme="minorEastAsia" w:cstheme="minorEastAsia"/>
                <w:b/>
                <w:bCs/>
                <w:i w:val="0"/>
                <w:color w:val="000000"/>
                <w:sz w:val="21"/>
                <w:szCs w:val="21"/>
                <w:u w:val="none"/>
                <w:lang w:val="en-US" w:eastAsia="zh-CN"/>
              </w:rPr>
              <w:t>5.04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heme="minorEastAsia" w:hAnsiTheme="minorEastAsia" w:eastAsiaTheme="minorEastAsia" w:cstheme="minorEastAsia"/>
                <w:i w:val="0"/>
                <w:color w:val="000000"/>
                <w:sz w:val="21"/>
                <w:szCs w:val="21"/>
                <w:u w:val="none"/>
                <w:lang w:val="en-US" w:eastAsia="zh-CN"/>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heme="minorEastAsia" w:hAnsiTheme="minorEastAsia" w:eastAsiaTheme="minorEastAsia" w:cstheme="minorEastAsia"/>
                <w:i w:val="0"/>
                <w:color w:val="000000"/>
                <w:sz w:val="21"/>
                <w:szCs w:val="21"/>
                <w:u w:val="none"/>
                <w:lang w:val="en-US" w:eastAsia="zh-CN"/>
              </w:rPr>
            </w:pPr>
            <w:r>
              <w:rPr>
                <w:rFonts w:hint="eastAsia" w:asciiTheme="minorEastAsia" w:hAnsiTheme="minorEastAsia" w:eastAsiaTheme="minorEastAsia" w:cstheme="minorEastAsia"/>
                <w:i w:val="0"/>
                <w:color w:val="000000"/>
                <w:sz w:val="21"/>
                <w:szCs w:val="21"/>
                <w:u w:val="none"/>
                <w:lang w:val="en-US" w:eastAsia="zh-CN"/>
              </w:rPr>
              <w:t>5.04</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heme="minorEastAsia" w:hAnsiTheme="minorEastAsia" w:eastAsiaTheme="minorEastAsia" w:cstheme="minorEastAsia"/>
                <w:i w:val="0"/>
                <w:color w:val="000000"/>
                <w:sz w:val="21"/>
                <w:szCs w:val="21"/>
                <w:u w:val="none"/>
                <w:lang w:val="en-US" w:eastAsia="zh-CN"/>
              </w:rPr>
            </w:pPr>
            <w:r>
              <w:rPr>
                <w:rFonts w:hint="eastAsia" w:asciiTheme="minorEastAsia" w:hAnsiTheme="minorEastAsia" w:eastAsiaTheme="minorEastAsia" w:cstheme="minorEastAsia"/>
                <w:i w:val="0"/>
                <w:color w:val="000000"/>
                <w:sz w:val="21"/>
                <w:szCs w:val="21"/>
                <w:u w:val="none"/>
                <w:lang w:val="en-US" w:eastAsia="zh-CN"/>
              </w:rPr>
              <w:t>3.45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6" w:hRule="atLeast"/>
          <w:jc w:val="center"/>
        </w:trPr>
        <w:tc>
          <w:tcPr>
            <w:tcW w:w="15140" w:type="dxa"/>
            <w:gridSpan w:val="12"/>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sz w:val="21"/>
                <w:szCs w:val="21"/>
                <w:u w:val="none"/>
              </w:rPr>
            </w:pPr>
            <w:r>
              <w:rPr>
                <w:rFonts w:hint="eastAsia" w:asciiTheme="minorEastAsia" w:hAnsiTheme="minorEastAsia" w:eastAsiaTheme="minorEastAsia" w:cstheme="minorEastAsia"/>
                <w:i w:val="0"/>
                <w:color w:val="000000"/>
                <w:kern w:val="0"/>
                <w:sz w:val="21"/>
                <w:szCs w:val="21"/>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pPr>
        <w:autoSpaceDE w:val="0"/>
        <w:autoSpaceDN w:val="0"/>
        <w:adjustRightInd w:val="0"/>
        <w:ind w:left="315" w:leftChars="150"/>
        <w:jc w:val="left"/>
        <w:rPr>
          <w:rFonts w:ascii="宋体" w:eastAsia="宋体" w:cs="宋体"/>
          <w:kern w:val="0"/>
          <w:sz w:val="24"/>
          <w:szCs w:val="24"/>
        </w:rPr>
      </w:pPr>
    </w:p>
    <w:p>
      <w:pPr>
        <w:autoSpaceDE w:val="0"/>
        <w:autoSpaceDN w:val="0"/>
        <w:adjustRightInd w:val="0"/>
        <w:ind w:left="315" w:leftChars="150"/>
        <w:jc w:val="left"/>
        <w:rPr>
          <w:rFonts w:ascii="宋体" w:eastAsia="宋体" w:cs="宋体"/>
          <w:kern w:val="0"/>
          <w:sz w:val="24"/>
          <w:szCs w:val="24"/>
        </w:rPr>
      </w:pPr>
    </w:p>
    <w:p>
      <w:pPr>
        <w:autoSpaceDE w:val="0"/>
        <w:autoSpaceDN w:val="0"/>
        <w:adjustRightInd w:val="0"/>
        <w:ind w:left="315" w:leftChars="150"/>
        <w:jc w:val="left"/>
        <w:rPr>
          <w:rFonts w:ascii="宋体" w:eastAsia="宋体" w:cs="宋体"/>
          <w:kern w:val="0"/>
          <w:sz w:val="24"/>
          <w:szCs w:val="24"/>
        </w:rPr>
      </w:pPr>
    </w:p>
    <w:p>
      <w:pPr>
        <w:autoSpaceDE w:val="0"/>
        <w:autoSpaceDN w:val="0"/>
        <w:adjustRightInd w:val="0"/>
        <w:ind w:left="315" w:leftChars="150"/>
        <w:jc w:val="left"/>
        <w:rPr>
          <w:rFonts w:ascii="宋体" w:eastAsia="宋体" w:cs="宋体"/>
          <w:kern w:val="0"/>
          <w:sz w:val="24"/>
          <w:szCs w:val="24"/>
        </w:rPr>
      </w:pPr>
    </w:p>
    <w:p>
      <w:pPr>
        <w:autoSpaceDE w:val="0"/>
        <w:autoSpaceDN w:val="0"/>
        <w:adjustRightInd w:val="0"/>
        <w:ind w:left="315" w:leftChars="150"/>
        <w:jc w:val="left"/>
        <w:rPr>
          <w:rFonts w:ascii="宋体" w:eastAsia="宋体" w:cs="宋体"/>
          <w:kern w:val="0"/>
          <w:sz w:val="24"/>
          <w:szCs w:val="24"/>
        </w:rPr>
      </w:pPr>
    </w:p>
    <w:p>
      <w:pPr>
        <w:widowControl/>
        <w:jc w:val="both"/>
        <w:rPr>
          <w:sz w:val="72"/>
          <w:szCs w:val="72"/>
        </w:rPr>
        <w:sectPr>
          <w:pgSz w:w="16838" w:h="11906" w:orient="landscape"/>
          <w:pgMar w:top="720" w:right="720" w:bottom="720" w:left="720" w:header="851" w:footer="992" w:gutter="0"/>
          <w:cols w:space="425" w:num="1"/>
          <w:docGrid w:type="lines" w:linePitch="312" w:charSpace="0"/>
        </w:sectPr>
      </w:pPr>
      <w:r>
        <w:rPr>
          <w:rFonts w:ascii="黑体" w:hAnsi="黑体" w:eastAsia="黑体"/>
          <w:szCs w:val="21"/>
        </w:rPr>
        <w:br w:type="page"/>
      </w:r>
    </w:p>
    <w:p>
      <w:pPr>
        <w:pStyle w:val="15"/>
        <w:rPr>
          <w:sz w:val="72"/>
          <w:szCs w:val="72"/>
        </w:rPr>
      </w:pPr>
    </w:p>
    <w:p>
      <w:pPr>
        <w:pStyle w:val="15"/>
        <w:rPr>
          <w:sz w:val="72"/>
          <w:szCs w:val="72"/>
        </w:rPr>
      </w:pPr>
    </w:p>
    <w:p>
      <w:pPr>
        <w:pStyle w:val="15"/>
        <w:rPr>
          <w:sz w:val="72"/>
          <w:szCs w:val="72"/>
        </w:rPr>
      </w:pPr>
    </w:p>
    <w:p>
      <w:pPr>
        <w:pStyle w:val="15"/>
        <w:rPr>
          <w:sz w:val="72"/>
          <w:szCs w:val="72"/>
        </w:rPr>
      </w:pPr>
    </w:p>
    <w:p>
      <w:pPr>
        <w:pStyle w:val="15"/>
        <w:jc w:val="center"/>
        <w:rPr>
          <w:sz w:val="72"/>
          <w:szCs w:val="72"/>
        </w:rPr>
      </w:pPr>
    </w:p>
    <w:p>
      <w:pPr>
        <w:pStyle w:val="15"/>
        <w:jc w:val="center"/>
        <w:rPr>
          <w:rFonts w:hint="eastAsia" w:ascii="方正小标宋_GBK" w:hAnsi="方正小标宋_GBK" w:eastAsia="方正小标宋_GBK" w:cs="方正小标宋_GBK"/>
          <w:sz w:val="72"/>
          <w:szCs w:val="72"/>
        </w:rPr>
      </w:pPr>
    </w:p>
    <w:p>
      <w:pPr>
        <w:pStyle w:val="15"/>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pPr>
        <w:pStyle w:val="15"/>
        <w:jc w:val="center"/>
        <w:rPr>
          <w:rFonts w:hint="eastAsia" w:ascii="方正小标宋_GBK" w:hAnsi="方正小标宋_GBK" w:eastAsia="方正小标宋_GBK" w:cs="方正小标宋_GBK"/>
          <w:sz w:val="70"/>
          <w:szCs w:val="70"/>
        </w:rPr>
      </w:pPr>
    </w:p>
    <w:p>
      <w:pPr>
        <w:pStyle w:val="15"/>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eastAsia" w:ascii="方正小标宋_GBK" w:hAnsi="方正小标宋_GBK" w:eastAsia="方正小标宋_GBK" w:cs="方正小标宋_GBK"/>
          <w:sz w:val="70"/>
          <w:szCs w:val="70"/>
          <w:lang w:val="en-US" w:eastAsia="zh-CN"/>
        </w:rPr>
        <w:t>4</w:t>
      </w:r>
      <w:r>
        <w:rPr>
          <w:rFonts w:hint="eastAsia" w:ascii="方正小标宋_GBK" w:hAnsi="方正小标宋_GBK" w:eastAsia="方正小标宋_GBK" w:cs="方正小标宋_GBK"/>
          <w:sz w:val="70"/>
          <w:szCs w:val="70"/>
        </w:rPr>
        <w:t>年度部门决算情况说明</w:t>
      </w:r>
    </w:p>
    <w:p>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年度收、支总计</w:t>
      </w:r>
      <w:r>
        <w:rPr>
          <w:rFonts w:hint="eastAsia" w:ascii="Times New Roman" w:hAnsi="Times New Roman" w:eastAsia="仿宋_GB2312"/>
          <w:sz w:val="32"/>
          <w:szCs w:val="32"/>
          <w:lang w:val="en-US" w:eastAsia="zh-CN"/>
        </w:rPr>
        <w:t>954.87</w:t>
      </w:r>
      <w:r>
        <w:rPr>
          <w:rFonts w:hint="eastAsia" w:ascii="Times New Roman" w:hAnsi="Times New Roman" w:eastAsia="仿宋_GB2312"/>
          <w:sz w:val="32"/>
          <w:szCs w:val="32"/>
        </w:rPr>
        <w:t>万元。与上年相比，减少</w:t>
      </w:r>
      <w:r>
        <w:rPr>
          <w:rFonts w:hint="eastAsia" w:ascii="Times New Roman" w:hAnsi="Times New Roman" w:eastAsia="仿宋_GB2312"/>
          <w:sz w:val="32"/>
          <w:szCs w:val="32"/>
          <w:lang w:val="en-US" w:eastAsia="zh-CN"/>
        </w:rPr>
        <w:t>40.92</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4.11</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eastAsia="zh-CN"/>
        </w:rPr>
        <w:t>本年度较上年度减少了</w:t>
      </w:r>
      <w:r>
        <w:rPr>
          <w:rFonts w:hint="eastAsia" w:ascii="Times New Roman" w:hAnsi="Times New Roman" w:eastAsia="仿宋_GB2312"/>
          <w:sz w:val="32"/>
          <w:szCs w:val="32"/>
          <w:lang w:val="en-US" w:eastAsia="zh-CN"/>
        </w:rPr>
        <w:t>2个人员</w:t>
      </w:r>
      <w:r>
        <w:rPr>
          <w:rFonts w:hint="eastAsia" w:ascii="Times New Roman" w:hAnsi="Times New Roman" w:eastAsia="仿宋_GB2312"/>
          <w:sz w:val="32"/>
          <w:szCs w:val="32"/>
          <w:lang w:eastAsia="zh-CN"/>
        </w:rPr>
        <w:t>。</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年度收入合计</w:t>
      </w:r>
      <w:r>
        <w:rPr>
          <w:rFonts w:hint="eastAsia" w:ascii="Times New Roman" w:hAnsi="Times New Roman" w:eastAsia="仿宋_GB2312"/>
          <w:sz w:val="32"/>
          <w:szCs w:val="32"/>
          <w:lang w:val="en-US" w:eastAsia="zh-CN"/>
        </w:rPr>
        <w:t>954.87</w:t>
      </w:r>
      <w:r>
        <w:rPr>
          <w:rFonts w:hint="eastAsia" w:ascii="Times New Roman" w:hAnsi="Times New Roman" w:eastAsia="仿宋_GB2312"/>
          <w:sz w:val="32"/>
          <w:szCs w:val="32"/>
        </w:rPr>
        <w:t>万元，其中：财政拨款收入</w:t>
      </w:r>
      <w:r>
        <w:rPr>
          <w:rFonts w:hint="eastAsia" w:ascii="Times New Roman" w:hAnsi="Times New Roman" w:eastAsia="仿宋_GB2312"/>
          <w:sz w:val="32"/>
          <w:szCs w:val="32"/>
          <w:lang w:val="en-US" w:eastAsia="zh-CN"/>
        </w:rPr>
        <w:t>954.87</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%；上级补助收入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%；事业收入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%；附属单位上缴收入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%；其他收入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年度支出合计</w:t>
      </w:r>
      <w:r>
        <w:rPr>
          <w:rFonts w:hint="eastAsia" w:ascii="Times New Roman" w:hAnsi="Times New Roman" w:eastAsia="仿宋_GB2312"/>
          <w:sz w:val="32"/>
          <w:szCs w:val="32"/>
          <w:lang w:val="en-US" w:eastAsia="zh-CN"/>
        </w:rPr>
        <w:t>954.87</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463.93</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48.59</w:t>
      </w:r>
      <w:r>
        <w:rPr>
          <w:rFonts w:hint="eastAsia" w:ascii="Times New Roman" w:hAnsi="Times New Roman" w:eastAsia="仿宋_GB2312"/>
          <w:sz w:val="32"/>
          <w:szCs w:val="32"/>
        </w:rPr>
        <w:t>%；项目支出</w:t>
      </w:r>
      <w:r>
        <w:rPr>
          <w:rFonts w:hint="eastAsia" w:ascii="Times New Roman" w:hAnsi="Times New Roman" w:eastAsia="仿宋_GB2312"/>
          <w:sz w:val="32"/>
          <w:szCs w:val="32"/>
          <w:lang w:val="en-US" w:eastAsia="zh-CN"/>
        </w:rPr>
        <w:t>490.94</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51.41</w:t>
      </w:r>
      <w:r>
        <w:rPr>
          <w:rFonts w:hint="eastAsia" w:ascii="Times New Roman" w:hAnsi="Times New Roman" w:eastAsia="仿宋_GB2312"/>
          <w:sz w:val="32"/>
          <w:szCs w:val="32"/>
        </w:rPr>
        <w:t>%；上缴上级支出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%；对附属单位补助支出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pPr>
        <w:pStyle w:val="15"/>
        <w:keepNext w:val="0"/>
        <w:keepLines w:val="0"/>
        <w:pageBreakBefore w:val="0"/>
        <w:widowControl w:val="0"/>
        <w:kinsoku/>
        <w:wordWrap/>
        <w:overflowPunct/>
        <w:topLinePunct w:val="0"/>
        <w:bidi w:val="0"/>
        <w:snapToGrid/>
        <w:spacing w:line="600" w:lineRule="exact"/>
        <w:ind w:firstLine="320" w:firstLineChars="1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年度财政拨款收、支总计</w:t>
      </w:r>
      <w:r>
        <w:rPr>
          <w:rFonts w:hint="eastAsia" w:ascii="Times New Roman" w:hAnsi="Times New Roman" w:eastAsia="仿宋_GB2312"/>
          <w:sz w:val="32"/>
          <w:szCs w:val="32"/>
          <w:lang w:val="en-US" w:eastAsia="zh-CN"/>
        </w:rPr>
        <w:t>954.87</w:t>
      </w:r>
      <w:r>
        <w:rPr>
          <w:rFonts w:hint="eastAsia" w:ascii="Times New Roman" w:hAnsi="Times New Roman" w:eastAsia="仿宋_GB2312"/>
          <w:sz w:val="32"/>
          <w:szCs w:val="32"/>
        </w:rPr>
        <w:t>万元，与上年相比，减少</w:t>
      </w:r>
      <w:r>
        <w:rPr>
          <w:rFonts w:hint="eastAsia" w:ascii="Times New Roman" w:hAnsi="Times New Roman" w:eastAsia="仿宋_GB2312"/>
          <w:sz w:val="32"/>
          <w:szCs w:val="32"/>
          <w:lang w:val="en-US" w:eastAsia="zh-CN"/>
        </w:rPr>
        <w:t>40.92</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4.11</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eastAsia="zh-CN"/>
        </w:rPr>
        <w:t>本年度较上年度减少了</w:t>
      </w:r>
      <w:r>
        <w:rPr>
          <w:rFonts w:hint="eastAsia" w:ascii="Times New Roman" w:hAnsi="Times New Roman" w:eastAsia="仿宋_GB2312"/>
          <w:sz w:val="32"/>
          <w:szCs w:val="32"/>
          <w:lang w:val="en-US" w:eastAsia="zh-CN"/>
        </w:rPr>
        <w:t>2个人员</w:t>
      </w:r>
      <w:r>
        <w:rPr>
          <w:rFonts w:hint="eastAsia" w:ascii="Times New Roman" w:hAnsi="Times New Roman" w:eastAsia="仿宋_GB2312"/>
          <w:sz w:val="32"/>
          <w:szCs w:val="32"/>
          <w:lang w:eastAsia="zh-CN"/>
        </w:rPr>
        <w:t>。</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（一）一般公共预算财政拨款支出决算总体情况</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954.87</w:t>
      </w:r>
      <w:r>
        <w:rPr>
          <w:rFonts w:hint="eastAsia" w:ascii="Times New Roman" w:hAnsi="Times New Roman" w:eastAsia="仿宋_GB2312"/>
          <w:sz w:val="32"/>
          <w:szCs w:val="32"/>
        </w:rPr>
        <w:t>万元，占本年支出合计的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%，与上年相比，财政拨款支出减少</w:t>
      </w:r>
      <w:r>
        <w:rPr>
          <w:rFonts w:hint="eastAsia" w:ascii="Times New Roman" w:hAnsi="Times New Roman" w:eastAsia="仿宋_GB2312"/>
          <w:sz w:val="32"/>
          <w:szCs w:val="32"/>
          <w:lang w:val="en-US" w:eastAsia="zh-CN"/>
        </w:rPr>
        <w:t>40.92</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4.11</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eastAsia="zh-CN"/>
        </w:rPr>
        <w:t>本年度较上年度减少了</w:t>
      </w:r>
      <w:r>
        <w:rPr>
          <w:rFonts w:hint="eastAsia" w:ascii="Times New Roman" w:hAnsi="Times New Roman" w:eastAsia="仿宋_GB2312"/>
          <w:sz w:val="32"/>
          <w:szCs w:val="32"/>
          <w:lang w:val="en-US" w:eastAsia="zh-CN"/>
        </w:rPr>
        <w:t xml:space="preserve">2个人员。  </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（二）一般公共预算财政拨款支出决算结构情况</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954.87</w:t>
      </w:r>
      <w:r>
        <w:rPr>
          <w:rFonts w:hint="eastAsia" w:ascii="Times New Roman" w:hAnsi="Times New Roman" w:eastAsia="仿宋_GB2312"/>
          <w:sz w:val="32"/>
          <w:szCs w:val="32"/>
        </w:rPr>
        <w:t>万元，主要用于以下方面：一般公共服务（类）支出</w:t>
      </w:r>
      <w:r>
        <w:rPr>
          <w:rFonts w:hint="eastAsia" w:ascii="Times New Roman" w:hAnsi="Times New Roman" w:eastAsia="仿宋_GB2312"/>
          <w:sz w:val="32"/>
          <w:szCs w:val="32"/>
          <w:lang w:val="en-US" w:eastAsia="zh-CN"/>
        </w:rPr>
        <w:t>842.04</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88.18</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社会保障和就业</w:t>
      </w:r>
      <w:r>
        <w:rPr>
          <w:rFonts w:hint="eastAsia" w:ascii="Times New Roman" w:hAnsi="Times New Roman" w:eastAsia="仿宋_GB2312"/>
          <w:sz w:val="32"/>
          <w:szCs w:val="32"/>
        </w:rPr>
        <w:t>（类）支出</w:t>
      </w:r>
      <w:r>
        <w:rPr>
          <w:rFonts w:hint="eastAsia" w:ascii="Times New Roman" w:hAnsi="Times New Roman" w:eastAsia="仿宋_GB2312"/>
          <w:sz w:val="32"/>
          <w:szCs w:val="32"/>
          <w:lang w:val="en-US" w:eastAsia="zh-CN"/>
        </w:rPr>
        <w:t>66.11</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6.92</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卫生健康（类）支出</w:t>
      </w:r>
      <w:r>
        <w:rPr>
          <w:rFonts w:hint="eastAsia" w:ascii="Times New Roman" w:hAnsi="Times New Roman" w:eastAsia="仿宋_GB2312"/>
          <w:sz w:val="32"/>
          <w:szCs w:val="32"/>
          <w:lang w:val="en-US" w:eastAsia="zh-CN"/>
        </w:rPr>
        <w:t>15.6，占1.63%。住房保障（类）支出31.11，占3.27%。</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（三）一般公共预算财政拨款支出决算具体情况</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年度财政拨款支出年初预算数为</w:t>
      </w:r>
      <w:r>
        <w:rPr>
          <w:rFonts w:hint="eastAsia" w:ascii="Times New Roman" w:hAnsi="Times New Roman" w:eastAsia="仿宋_GB2312"/>
          <w:sz w:val="32"/>
          <w:szCs w:val="32"/>
          <w:lang w:val="en-US" w:eastAsia="zh-CN"/>
        </w:rPr>
        <w:t>697.4</w:t>
      </w:r>
      <w:r>
        <w:rPr>
          <w:rFonts w:hint="eastAsia" w:ascii="Times New Roman" w:hAnsi="Times New Roman" w:eastAsia="仿宋_GB2312"/>
          <w:sz w:val="32"/>
          <w:szCs w:val="32"/>
        </w:rPr>
        <w:t>万元，支出决算数为</w:t>
      </w:r>
      <w:r>
        <w:rPr>
          <w:rFonts w:hint="eastAsia" w:ascii="Times New Roman" w:hAnsi="Times New Roman" w:eastAsia="仿宋_GB2312"/>
          <w:sz w:val="32"/>
          <w:szCs w:val="32"/>
          <w:lang w:val="en-US" w:eastAsia="zh-CN"/>
        </w:rPr>
        <w:t>954.87</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136.92</w:t>
      </w:r>
      <w:r>
        <w:rPr>
          <w:rFonts w:hint="eastAsia" w:ascii="Times New Roman" w:hAnsi="Times New Roman" w:eastAsia="仿宋_GB2312"/>
          <w:sz w:val="32"/>
          <w:szCs w:val="32"/>
        </w:rPr>
        <w:t>%，其中：</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1、一般公共服务（类）</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201)民族事务</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20123）行政运行</w:t>
      </w:r>
      <w:r>
        <w:rPr>
          <w:rFonts w:hint="eastAsia" w:ascii="Times New Roman" w:hAnsi="Times New Roman" w:eastAsia="仿宋_GB2312"/>
          <w:sz w:val="32"/>
          <w:szCs w:val="32"/>
        </w:rPr>
        <w:t>（项）</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2012301）</w:t>
      </w:r>
      <w:r>
        <w:rPr>
          <w:rFonts w:hint="eastAsia" w:ascii="Times New Roman" w:hAnsi="Times New Roman" w:eastAsia="仿宋_GB2312"/>
          <w:sz w:val="32"/>
          <w:szCs w:val="32"/>
        </w:rPr>
        <w:t>。</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387.93</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350.28</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90.29</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小于</w:t>
      </w:r>
      <w:r>
        <w:rPr>
          <w:rFonts w:hint="eastAsia" w:ascii="Times New Roman" w:hAnsi="Times New Roman" w:eastAsia="仿宋_GB2312"/>
          <w:sz w:val="32"/>
          <w:szCs w:val="32"/>
        </w:rPr>
        <w:t>年初预算数的主要原因是：</w:t>
      </w:r>
      <w:r>
        <w:rPr>
          <w:rFonts w:hint="eastAsia" w:ascii="Times New Roman" w:hAnsi="Times New Roman" w:eastAsia="仿宋_GB2312"/>
          <w:sz w:val="32"/>
          <w:szCs w:val="32"/>
          <w:lang w:eastAsia="zh-CN"/>
        </w:rPr>
        <w:t>本年度较上年度减少了</w:t>
      </w:r>
      <w:r>
        <w:rPr>
          <w:rFonts w:hint="eastAsia" w:ascii="Times New Roman" w:hAnsi="Times New Roman" w:eastAsia="仿宋_GB2312"/>
          <w:sz w:val="32"/>
          <w:szCs w:val="32"/>
          <w:lang w:val="en-US" w:eastAsia="zh-CN"/>
        </w:rPr>
        <w:t>2个人员。</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2、一般公共服务（类）</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201）民族事务</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20123）一般行政管理事务</w:t>
      </w:r>
      <w:r>
        <w:rPr>
          <w:rFonts w:hint="eastAsia" w:ascii="Times New Roman" w:hAnsi="Times New Roman" w:eastAsia="仿宋_GB2312"/>
          <w:sz w:val="32"/>
          <w:szCs w:val="32"/>
        </w:rPr>
        <w:t>（项）</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2012302）</w:t>
      </w:r>
      <w:r>
        <w:rPr>
          <w:rFonts w:hint="eastAsia" w:ascii="Times New Roman" w:hAnsi="Times New Roman" w:eastAsia="仿宋_GB2312"/>
          <w:sz w:val="32"/>
          <w:szCs w:val="32"/>
        </w:rPr>
        <w:t>。</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60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59.24</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98.73</w:t>
      </w:r>
      <w:r>
        <w:rPr>
          <w:rFonts w:hint="eastAsia" w:ascii="Times New Roman" w:hAnsi="Times New Roman" w:eastAsia="仿宋_GB2312"/>
          <w:sz w:val="32"/>
          <w:szCs w:val="32"/>
        </w:rPr>
        <w:t>%，决算数小于年初预算数的主要原因是：</w:t>
      </w:r>
      <w:r>
        <w:rPr>
          <w:rFonts w:hint="eastAsia" w:ascii="Times New Roman" w:hAnsi="Times New Roman" w:eastAsia="仿宋_GB2312"/>
          <w:sz w:val="32"/>
          <w:szCs w:val="32"/>
          <w:lang w:eastAsia="zh-CN"/>
        </w:rPr>
        <w:t>厉行节约，严格控制开支。</w:t>
      </w:r>
    </w:p>
    <w:p>
      <w:pPr>
        <w:pStyle w:val="15"/>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一般公共服务（类）</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201）民族事务</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20123）一民族工作专项</w:t>
      </w:r>
      <w:r>
        <w:rPr>
          <w:rFonts w:hint="eastAsia" w:ascii="Times New Roman" w:hAnsi="Times New Roman" w:eastAsia="仿宋_GB2312"/>
          <w:sz w:val="32"/>
          <w:szCs w:val="32"/>
        </w:rPr>
        <w:t>（项）</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2012304）</w:t>
      </w:r>
      <w:r>
        <w:rPr>
          <w:rFonts w:hint="eastAsia" w:ascii="Times New Roman" w:hAnsi="Times New Roman" w:eastAsia="仿宋_GB2312"/>
          <w:sz w:val="32"/>
          <w:szCs w:val="32"/>
        </w:rPr>
        <w:t>。</w:t>
      </w:r>
    </w:p>
    <w:p>
      <w:pPr>
        <w:pStyle w:val="15"/>
        <w:keepNext w:val="0"/>
        <w:keepLines w:val="0"/>
        <w:pageBreakBefore w:val="0"/>
        <w:widowControl w:val="0"/>
        <w:kinsoku/>
        <w:wordWrap/>
        <w:overflowPunct/>
        <w:topLinePunct w:val="0"/>
        <w:bidi w:val="0"/>
        <w:snapToGrid/>
        <w:spacing w:line="600" w:lineRule="exact"/>
        <w:ind w:firstLine="320" w:firstLineChars="10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 xml:space="preserve">  </w:t>
      </w: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48</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eastAsia="zh-CN"/>
        </w:rPr>
        <w:t>本年度省民宗委下拨给本单位省级少数民族工作专项资金</w:t>
      </w:r>
      <w:r>
        <w:rPr>
          <w:rFonts w:hint="eastAsia" w:ascii="Times New Roman" w:hAnsi="Times New Roman" w:eastAsia="仿宋_GB2312"/>
          <w:sz w:val="32"/>
          <w:szCs w:val="32"/>
          <w:lang w:val="en-US" w:eastAsia="zh-CN"/>
        </w:rPr>
        <w:t>48万元，没在年初预算范围内</w:t>
      </w:r>
      <w:r>
        <w:rPr>
          <w:rFonts w:hint="eastAsia" w:ascii="Times New Roman" w:hAnsi="Times New Roman" w:eastAsia="仿宋_GB2312"/>
          <w:sz w:val="32"/>
          <w:szCs w:val="32"/>
          <w:lang w:eastAsia="zh-CN"/>
        </w:rPr>
        <w:t>。</w:t>
      </w:r>
    </w:p>
    <w:p>
      <w:pPr>
        <w:pStyle w:val="15"/>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一般公共服务（类）</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201）民族事务</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20123）一其他民族事务支出</w:t>
      </w:r>
      <w:r>
        <w:rPr>
          <w:rFonts w:hint="eastAsia" w:ascii="Times New Roman" w:hAnsi="Times New Roman" w:eastAsia="仿宋_GB2312"/>
          <w:sz w:val="32"/>
          <w:szCs w:val="32"/>
        </w:rPr>
        <w:t>（项）</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2012399）</w:t>
      </w:r>
      <w:r>
        <w:rPr>
          <w:rFonts w:hint="eastAsia" w:ascii="Times New Roman" w:hAnsi="Times New Roman" w:eastAsia="仿宋_GB2312"/>
          <w:sz w:val="32"/>
          <w:szCs w:val="32"/>
        </w:rPr>
        <w:t>。</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137.08</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381.82</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278.54</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大</w:t>
      </w:r>
      <w:r>
        <w:rPr>
          <w:rFonts w:hint="eastAsia" w:ascii="Times New Roman" w:hAnsi="Times New Roman" w:eastAsia="仿宋_GB2312"/>
          <w:sz w:val="32"/>
          <w:szCs w:val="32"/>
        </w:rPr>
        <w:t>于年初预算数的主要原因是：</w:t>
      </w:r>
      <w:r>
        <w:rPr>
          <w:rFonts w:hint="eastAsia" w:ascii="Times New Roman" w:hAnsi="Times New Roman" w:eastAsia="仿宋_GB2312"/>
          <w:sz w:val="32"/>
          <w:szCs w:val="32"/>
          <w:lang w:eastAsia="zh-CN"/>
        </w:rPr>
        <w:t>第九届省级少数民族运动会预算追加</w:t>
      </w:r>
      <w:r>
        <w:rPr>
          <w:rFonts w:hint="eastAsia" w:ascii="Times New Roman" w:hAnsi="Times New Roman" w:eastAsia="仿宋_GB2312"/>
          <w:sz w:val="32"/>
          <w:szCs w:val="32"/>
          <w:lang w:val="en-US" w:eastAsia="zh-CN"/>
        </w:rPr>
        <w:t>71.48万元，“创建全国民族团结进步示范市”工作经费预算追加120.83万元，“创建全国民族团结进步示范市科技馆项目”预算追加53.08万元，没在年初预算范围内。</w:t>
      </w:r>
    </w:p>
    <w:p>
      <w:pPr>
        <w:pStyle w:val="15"/>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一般公共服务（类）</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201）统战事务</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20134）宗教事务</w:t>
      </w:r>
      <w:r>
        <w:rPr>
          <w:rFonts w:hint="eastAsia" w:ascii="Times New Roman" w:hAnsi="Times New Roman" w:eastAsia="仿宋_GB2312"/>
          <w:sz w:val="32"/>
          <w:szCs w:val="32"/>
        </w:rPr>
        <w:t>（项）</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2013404）</w:t>
      </w:r>
      <w:r>
        <w:rPr>
          <w:rFonts w:hint="eastAsia" w:ascii="Times New Roman" w:hAnsi="Times New Roman" w:eastAsia="仿宋_GB2312"/>
          <w:sz w:val="32"/>
          <w:szCs w:val="32"/>
        </w:rPr>
        <w:t>。</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2.7</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大</w:t>
      </w:r>
      <w:r>
        <w:rPr>
          <w:rFonts w:hint="eastAsia" w:ascii="Times New Roman" w:hAnsi="Times New Roman" w:eastAsia="仿宋_GB2312"/>
          <w:sz w:val="32"/>
          <w:szCs w:val="32"/>
        </w:rPr>
        <w:t>于年初预算数的主要原因是：</w:t>
      </w:r>
      <w:r>
        <w:rPr>
          <w:rFonts w:hint="eastAsia" w:ascii="Times New Roman" w:hAnsi="Times New Roman" w:eastAsia="仿宋_GB2312"/>
          <w:sz w:val="32"/>
          <w:szCs w:val="32"/>
          <w:lang w:eastAsia="zh-CN"/>
        </w:rPr>
        <w:t>省民宗委下拨的</w:t>
      </w:r>
      <w:r>
        <w:rPr>
          <w:rFonts w:hint="eastAsia" w:ascii="Times New Roman" w:hAnsi="Times New Roman" w:eastAsia="仿宋_GB2312"/>
          <w:sz w:val="32"/>
          <w:szCs w:val="32"/>
          <w:lang w:val="en-US" w:eastAsia="zh-CN"/>
        </w:rPr>
        <w:t>2.7万元宗教界人士困难补助没在年初预算范围内。</w:t>
      </w:r>
    </w:p>
    <w:p>
      <w:pPr>
        <w:pStyle w:val="15"/>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lang w:eastAsia="zh-CN"/>
        </w:rPr>
        <w:t>社会保障和就业支出</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208）行政事业单位养老支出</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20805）行政单位离退休</w:t>
      </w:r>
      <w:r>
        <w:rPr>
          <w:rFonts w:hint="eastAsia" w:ascii="Times New Roman" w:hAnsi="Times New Roman" w:eastAsia="仿宋_GB2312"/>
          <w:sz w:val="32"/>
          <w:szCs w:val="32"/>
        </w:rPr>
        <w:t>（项）</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2080501）</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26.14</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26.14</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小</w:t>
      </w:r>
      <w:r>
        <w:rPr>
          <w:rFonts w:hint="eastAsia" w:ascii="Times New Roman" w:hAnsi="Times New Roman" w:eastAsia="仿宋_GB2312"/>
          <w:sz w:val="32"/>
          <w:szCs w:val="32"/>
        </w:rPr>
        <w:t>于年初预算数的主要原因是：</w:t>
      </w:r>
      <w:r>
        <w:rPr>
          <w:rFonts w:hint="eastAsia" w:ascii="Times New Roman" w:hAnsi="Times New Roman" w:eastAsia="仿宋_GB2312"/>
          <w:sz w:val="32"/>
          <w:szCs w:val="32"/>
          <w:lang w:eastAsia="zh-CN"/>
        </w:rPr>
        <w:t>厉行节约，严格控制开支。</w:t>
      </w:r>
    </w:p>
    <w:p>
      <w:pPr>
        <w:pStyle w:val="15"/>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7、</w:t>
      </w:r>
      <w:r>
        <w:rPr>
          <w:rFonts w:hint="eastAsia" w:ascii="Times New Roman" w:hAnsi="Times New Roman" w:eastAsia="仿宋_GB2312"/>
          <w:sz w:val="32"/>
          <w:szCs w:val="32"/>
          <w:lang w:eastAsia="zh-CN"/>
        </w:rPr>
        <w:t>社会保障和就业支出</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208）行政事业单位养老支出</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20805）行政单位离退休</w:t>
      </w:r>
      <w:r>
        <w:rPr>
          <w:rFonts w:hint="eastAsia" w:ascii="Times New Roman" w:hAnsi="Times New Roman" w:eastAsia="仿宋_GB2312"/>
          <w:sz w:val="32"/>
          <w:szCs w:val="32"/>
        </w:rPr>
        <w:t>（项）</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2080505）</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41.93</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37.45</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89.32</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大</w:t>
      </w:r>
      <w:r>
        <w:rPr>
          <w:rFonts w:hint="eastAsia" w:ascii="Times New Roman" w:hAnsi="Times New Roman" w:eastAsia="仿宋_GB2312"/>
          <w:sz w:val="32"/>
          <w:szCs w:val="32"/>
        </w:rPr>
        <w:t>于年初预算数的主要原因是：</w:t>
      </w:r>
      <w:r>
        <w:rPr>
          <w:rFonts w:hint="eastAsia" w:ascii="Times New Roman" w:hAnsi="Times New Roman" w:eastAsia="仿宋_GB2312"/>
          <w:sz w:val="32"/>
          <w:szCs w:val="32"/>
          <w:lang w:eastAsia="zh-CN"/>
        </w:rPr>
        <w:t>人员变动减少导致机关事业单位养老保险支出减少。</w:t>
      </w:r>
    </w:p>
    <w:p>
      <w:pPr>
        <w:pStyle w:val="15"/>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8、</w:t>
      </w:r>
      <w:r>
        <w:rPr>
          <w:rFonts w:hint="eastAsia" w:ascii="Times New Roman" w:hAnsi="Times New Roman" w:eastAsia="仿宋_GB2312"/>
          <w:sz w:val="32"/>
          <w:szCs w:val="32"/>
          <w:lang w:eastAsia="zh-CN"/>
        </w:rPr>
        <w:t>社会保障和就业支出</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208）行政事业单位养老支出</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20805）行政单位离退休</w:t>
      </w:r>
      <w:r>
        <w:rPr>
          <w:rFonts w:hint="eastAsia" w:ascii="Times New Roman" w:hAnsi="Times New Roman" w:eastAsia="仿宋_GB2312"/>
          <w:sz w:val="32"/>
          <w:szCs w:val="32"/>
        </w:rPr>
        <w:t>（项）</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2080599）</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2.54</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大</w:t>
      </w:r>
      <w:r>
        <w:rPr>
          <w:rFonts w:hint="eastAsia" w:ascii="Times New Roman" w:hAnsi="Times New Roman" w:eastAsia="仿宋_GB2312"/>
          <w:sz w:val="32"/>
          <w:szCs w:val="32"/>
        </w:rPr>
        <w:t>于年初预算数的主要原因是：</w:t>
      </w:r>
      <w:r>
        <w:rPr>
          <w:rFonts w:hint="eastAsia" w:ascii="Times New Roman" w:hAnsi="Times New Roman" w:eastAsia="仿宋_GB2312"/>
          <w:sz w:val="32"/>
          <w:szCs w:val="32"/>
          <w:lang w:eastAsia="zh-CN"/>
        </w:rPr>
        <w:t>退休人员变动导致退休人员春节生活补助增加。</w:t>
      </w:r>
    </w:p>
    <w:p>
      <w:pPr>
        <w:pStyle w:val="15"/>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9、卫生健康</w:t>
      </w:r>
      <w:r>
        <w:rPr>
          <w:rFonts w:hint="eastAsia" w:ascii="Times New Roman" w:hAnsi="Times New Roman" w:eastAsia="仿宋_GB2312"/>
          <w:sz w:val="32"/>
          <w:szCs w:val="32"/>
          <w:lang w:eastAsia="zh-CN"/>
        </w:rPr>
        <w:t>支出</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210）行政事业单位医疗</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21011行政单位医疗</w:t>
      </w:r>
      <w:r>
        <w:rPr>
          <w:rFonts w:hint="eastAsia" w:ascii="Times New Roman" w:hAnsi="Times New Roman" w:eastAsia="仿宋_GB2312"/>
          <w:sz w:val="32"/>
          <w:szCs w:val="32"/>
        </w:rPr>
        <w:t>（项）</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2101101）</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b w:val="0"/>
          <w:bCs w:val="0"/>
          <w:sz w:val="32"/>
          <w:szCs w:val="32"/>
          <w:lang w:val="en-US" w:eastAsia="zh-CN"/>
        </w:rPr>
        <w:t>17.83</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15.6</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87.49</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大</w:t>
      </w:r>
      <w:r>
        <w:rPr>
          <w:rFonts w:hint="eastAsia" w:ascii="Times New Roman" w:hAnsi="Times New Roman" w:eastAsia="仿宋_GB2312"/>
          <w:sz w:val="32"/>
          <w:szCs w:val="32"/>
        </w:rPr>
        <w:t>于年初预算数的主要原因是：</w:t>
      </w:r>
      <w:r>
        <w:rPr>
          <w:rFonts w:hint="eastAsia" w:ascii="Times New Roman" w:hAnsi="Times New Roman" w:eastAsia="仿宋_GB2312"/>
          <w:sz w:val="32"/>
          <w:szCs w:val="32"/>
          <w:lang w:eastAsia="zh-CN"/>
        </w:rPr>
        <w:t>人员变动减少导致行政事业单位基本医疗保险支出减少。</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年度财政拨款基本支出</w:t>
      </w:r>
      <w:r>
        <w:rPr>
          <w:rFonts w:hint="eastAsia" w:ascii="Times New Roman" w:hAnsi="Times New Roman" w:eastAsia="仿宋_GB2312"/>
          <w:b w:val="0"/>
          <w:bCs w:val="0"/>
          <w:sz w:val="32"/>
          <w:szCs w:val="32"/>
          <w:lang w:val="en-US" w:eastAsia="zh-CN"/>
        </w:rPr>
        <w:t>463.93</w:t>
      </w:r>
      <w:r>
        <w:rPr>
          <w:rFonts w:hint="eastAsia" w:ascii="Times New Roman" w:hAnsi="Times New Roman" w:eastAsia="仿宋_GB2312"/>
          <w:sz w:val="32"/>
          <w:szCs w:val="32"/>
        </w:rPr>
        <w:t>万元，其中：</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b w:val="0"/>
          <w:bCs w:val="0"/>
          <w:sz w:val="32"/>
          <w:szCs w:val="32"/>
        </w:rPr>
        <w:t>人员经费</w:t>
      </w:r>
      <w:r>
        <w:rPr>
          <w:rFonts w:hint="eastAsia" w:ascii="Times New Roman" w:hAnsi="Times New Roman" w:eastAsia="仿宋_GB2312"/>
          <w:b w:val="0"/>
          <w:bCs w:val="0"/>
          <w:sz w:val="32"/>
          <w:szCs w:val="32"/>
          <w:lang w:val="en-US" w:eastAsia="zh-CN"/>
        </w:rPr>
        <w:t>408.22</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87.99</w:t>
      </w:r>
      <w:r>
        <w:rPr>
          <w:rFonts w:hint="eastAsia" w:ascii="Times New Roman" w:hAnsi="Times New Roman" w:eastAsia="仿宋_GB2312"/>
          <w:sz w:val="32"/>
          <w:szCs w:val="32"/>
        </w:rPr>
        <w:t>%,主要包括基本工资、津贴补贴、奖金、伙食补助</w:t>
      </w:r>
      <w:r>
        <w:rPr>
          <w:rFonts w:hint="eastAsia" w:ascii="Times New Roman" w:hAnsi="Times New Roman" w:eastAsia="仿宋_GB2312"/>
          <w:sz w:val="32"/>
          <w:szCs w:val="32"/>
          <w:lang w:eastAsia="zh-CN"/>
        </w:rPr>
        <w:t>、机关事业单位基本养老保险支出、行政事业单位基本医疗保险支出等。</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sz w:val="32"/>
          <w:szCs w:val="32"/>
        </w:rPr>
      </w:pPr>
      <w:r>
        <w:rPr>
          <w:rFonts w:hint="eastAsia" w:ascii="Times New Roman" w:hAnsi="Times New Roman" w:eastAsia="仿宋_GB2312"/>
          <w:b w:val="0"/>
          <w:bCs w:val="0"/>
          <w:sz w:val="32"/>
          <w:szCs w:val="32"/>
        </w:rPr>
        <w:t>公用经费</w:t>
      </w:r>
      <w:r>
        <w:rPr>
          <w:rFonts w:hint="eastAsia" w:ascii="Times New Roman" w:hAnsi="Times New Roman" w:eastAsia="仿宋_GB2312"/>
          <w:b w:val="0"/>
          <w:bCs w:val="0"/>
          <w:sz w:val="32"/>
          <w:szCs w:val="32"/>
          <w:lang w:val="en-US" w:eastAsia="zh-CN"/>
        </w:rPr>
        <w:t>55.71</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12.01</w:t>
      </w:r>
      <w:r>
        <w:rPr>
          <w:rFonts w:hint="eastAsia" w:ascii="Times New Roman" w:hAnsi="Times New Roman" w:eastAsia="仿宋_GB2312"/>
          <w:sz w:val="32"/>
          <w:szCs w:val="32"/>
        </w:rPr>
        <w:t>%，主要包括</w:t>
      </w:r>
      <w:r>
        <w:rPr>
          <w:rFonts w:hint="eastAsia" w:ascii="Times New Roman" w:hAnsi="Times New Roman" w:eastAsia="仿宋_GB2312"/>
          <w:sz w:val="32"/>
          <w:szCs w:val="32"/>
          <w:lang w:eastAsia="zh-CN"/>
        </w:rPr>
        <w:t>办公费、邮电费、福利费</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其他交通费用、工会经费、其他商品和服务支出等</w:t>
      </w:r>
      <w:r>
        <w:rPr>
          <w:rFonts w:hint="eastAsia" w:ascii="Times New Roman" w:hAnsi="Times New Roman" w:eastAsia="仿宋_GB2312"/>
          <w:sz w:val="32"/>
          <w:szCs w:val="32"/>
        </w:rPr>
        <w:t>。</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sz w:val="32"/>
          <w:szCs w:val="32"/>
        </w:rPr>
      </w:pPr>
      <w:r>
        <w:rPr>
          <w:rFonts w:hint="eastAsia" w:ascii="黑体" w:hAnsi="黑体" w:eastAsia="黑体" w:cs="黑体"/>
          <w:b w:val="0"/>
          <w:bCs/>
          <w:sz w:val="32"/>
          <w:szCs w:val="32"/>
        </w:rPr>
        <w:t>七、财政拨款三公经费支出决算情况说明</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“三公”经费财政拨款支出预算为</w:t>
      </w:r>
      <w:r>
        <w:rPr>
          <w:rFonts w:hint="eastAsia" w:ascii="Times New Roman" w:hAnsi="Times New Roman" w:eastAsia="仿宋_GB2312"/>
          <w:sz w:val="32"/>
          <w:szCs w:val="32"/>
          <w:lang w:val="en-US" w:eastAsia="zh-CN"/>
        </w:rPr>
        <w:t>9.04</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8.49</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93.92</w:t>
      </w:r>
      <w:r>
        <w:rPr>
          <w:rFonts w:hint="eastAsia" w:ascii="Times New Roman" w:hAnsi="Times New Roman" w:eastAsia="仿宋_GB2312"/>
          <w:sz w:val="32"/>
          <w:szCs w:val="32"/>
        </w:rPr>
        <w:t>%，与上年相比减少</w:t>
      </w:r>
      <w:r>
        <w:rPr>
          <w:rFonts w:hint="eastAsia" w:ascii="Times New Roman" w:hAnsi="Times New Roman" w:eastAsia="仿宋_GB2312"/>
          <w:sz w:val="32"/>
          <w:szCs w:val="32"/>
          <w:lang w:val="en-US" w:eastAsia="zh-CN"/>
        </w:rPr>
        <w:t>0.09</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决算数小于预算数的主要原因是</w:t>
      </w:r>
      <w:r>
        <w:rPr>
          <w:rFonts w:hint="eastAsia" w:ascii="Times New Roman" w:hAnsi="Times New Roman" w:eastAsia="仿宋_GB2312"/>
          <w:sz w:val="32"/>
          <w:szCs w:val="32"/>
          <w:lang w:eastAsia="zh-CN"/>
        </w:rPr>
        <w:t>厉行勤俭节约。</w:t>
      </w:r>
      <w:r>
        <w:rPr>
          <w:rFonts w:hint="eastAsia" w:ascii="Times New Roman" w:hAnsi="Times New Roman" w:eastAsia="仿宋_GB2312"/>
          <w:sz w:val="32"/>
          <w:szCs w:val="32"/>
        </w:rPr>
        <w:t>其中：</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因公出国（境）费支出预算为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没有列支预算，也没有实际发生支出。</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公务接待费支出预算为</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3.45</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86.25</w:t>
      </w:r>
      <w:r>
        <w:rPr>
          <w:rFonts w:hint="eastAsia" w:ascii="Times New Roman" w:hAnsi="Times New Roman" w:eastAsia="仿宋_GB2312"/>
          <w:sz w:val="32"/>
          <w:szCs w:val="32"/>
        </w:rPr>
        <w:t>%，决算数小于预算数的主要原因</w:t>
      </w:r>
      <w:r>
        <w:rPr>
          <w:rFonts w:hint="eastAsia" w:ascii="Times New Roman" w:hAnsi="Times New Roman" w:eastAsia="仿宋_GB2312"/>
          <w:sz w:val="32"/>
          <w:szCs w:val="32"/>
          <w:lang w:eastAsia="zh-CN"/>
        </w:rPr>
        <w:t>是厉行勤俭节约</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严格控制接待人数和接待标准。</w:t>
      </w:r>
      <w:r>
        <w:rPr>
          <w:rFonts w:hint="eastAsia" w:ascii="Times New Roman" w:hAnsi="Times New Roman" w:eastAsia="仿宋_GB2312"/>
          <w:sz w:val="32"/>
          <w:szCs w:val="32"/>
        </w:rPr>
        <w:t>与上年相比减少</w:t>
      </w:r>
      <w:r>
        <w:rPr>
          <w:rFonts w:hint="eastAsia" w:ascii="Times New Roman" w:hAnsi="Times New Roman" w:eastAsia="仿宋_GB2312"/>
          <w:sz w:val="32"/>
          <w:szCs w:val="32"/>
          <w:lang w:val="en-US" w:eastAsia="zh-CN"/>
        </w:rPr>
        <w:t>0.09</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2.5</w:t>
      </w:r>
      <w:r>
        <w:rPr>
          <w:rFonts w:hint="eastAsia" w:ascii="Times New Roman" w:hAnsi="Times New Roman" w:eastAsia="仿宋_GB2312"/>
          <w:sz w:val="32"/>
          <w:szCs w:val="32"/>
        </w:rPr>
        <w:t>%,减少的主要原因是</w:t>
      </w:r>
      <w:r>
        <w:rPr>
          <w:rFonts w:hint="eastAsia" w:ascii="Times New Roman" w:hAnsi="Times New Roman" w:eastAsia="仿宋_GB2312"/>
          <w:sz w:val="32"/>
          <w:szCs w:val="32"/>
          <w:lang w:eastAsia="zh-CN"/>
        </w:rPr>
        <w:t>接待人数较上年度稍少</w:t>
      </w:r>
      <w:r>
        <w:rPr>
          <w:rFonts w:hint="eastAsia" w:ascii="Times New Roman" w:hAnsi="Times New Roman" w:eastAsia="仿宋_GB2312"/>
          <w:sz w:val="32"/>
          <w:szCs w:val="32"/>
        </w:rPr>
        <w:t>。</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公务用车购置费支出预算为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没有列支预算，也没有实际发生支出。</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公务用车运行维护费支出预算为</w:t>
      </w:r>
      <w:r>
        <w:rPr>
          <w:rFonts w:hint="eastAsia" w:ascii="Times New Roman" w:hAnsi="Times New Roman" w:eastAsia="仿宋_GB2312"/>
          <w:sz w:val="32"/>
          <w:szCs w:val="32"/>
          <w:lang w:val="en-US" w:eastAsia="zh-CN"/>
        </w:rPr>
        <w:t>5.04</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5.04</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%，决算数小于预算数的主要原因是</w:t>
      </w:r>
      <w:r>
        <w:rPr>
          <w:rFonts w:hint="eastAsia" w:ascii="Times New Roman" w:hAnsi="Times New Roman" w:eastAsia="仿宋_GB2312"/>
          <w:sz w:val="32"/>
          <w:szCs w:val="32"/>
          <w:lang w:eastAsia="zh-CN"/>
        </w:rPr>
        <w:t>严格公车管理</w:t>
      </w:r>
      <w:r>
        <w:rPr>
          <w:rFonts w:hint="eastAsia" w:ascii="Times New Roman" w:hAnsi="Times New Roman" w:eastAsia="仿宋_GB2312"/>
          <w:sz w:val="32"/>
          <w:szCs w:val="32"/>
        </w:rPr>
        <w:t>，与上年相比减少</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正好持平，</w:t>
      </w:r>
      <w:r>
        <w:rPr>
          <w:rFonts w:hint="eastAsia" w:ascii="Times New Roman" w:hAnsi="Times New Roman" w:eastAsia="仿宋_GB2312"/>
          <w:sz w:val="32"/>
          <w:szCs w:val="32"/>
        </w:rPr>
        <w:t>主要原因是</w:t>
      </w:r>
      <w:r>
        <w:rPr>
          <w:rFonts w:hint="eastAsia" w:ascii="Times New Roman" w:hAnsi="Times New Roman" w:eastAsia="仿宋_GB2312"/>
          <w:sz w:val="32"/>
          <w:szCs w:val="32"/>
          <w:lang w:eastAsia="zh-CN"/>
        </w:rPr>
        <w:t>严格公车管理</w:t>
      </w:r>
      <w:r>
        <w:rPr>
          <w:rFonts w:hint="eastAsia" w:ascii="Times New Roman" w:hAnsi="Times New Roman" w:eastAsia="仿宋_GB2312"/>
          <w:sz w:val="32"/>
          <w:szCs w:val="32"/>
        </w:rPr>
        <w:t>。</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年度“三公”经费财政拨款支出决算中，公务接待费支出决算</w:t>
      </w:r>
      <w:r>
        <w:rPr>
          <w:rFonts w:hint="eastAsia" w:ascii="Times New Roman" w:hAnsi="Times New Roman" w:eastAsia="仿宋_GB2312"/>
          <w:sz w:val="32"/>
          <w:szCs w:val="32"/>
          <w:lang w:val="en-US" w:eastAsia="zh-CN"/>
        </w:rPr>
        <w:t>3.45</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40.64</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因公出国（境）费支出决算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公务用车购置费及运行维护费支出决算</w:t>
      </w:r>
      <w:r>
        <w:rPr>
          <w:rFonts w:hint="eastAsia" w:ascii="Times New Roman" w:hAnsi="Times New Roman" w:eastAsia="仿宋_GB2312"/>
          <w:sz w:val="32"/>
          <w:szCs w:val="32"/>
          <w:lang w:val="en-US" w:eastAsia="zh-CN"/>
        </w:rPr>
        <w:t>5.04</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59.36</w:t>
      </w:r>
      <w:r>
        <w:rPr>
          <w:rFonts w:hint="eastAsia" w:ascii="Times New Roman" w:hAnsi="Times New Roman" w:eastAsia="仿宋_GB2312"/>
          <w:sz w:val="32"/>
          <w:szCs w:val="32"/>
        </w:rPr>
        <w:t>%。其中：</w:t>
      </w:r>
    </w:p>
    <w:p>
      <w:pPr>
        <w:pStyle w:val="15"/>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楷体" w:hAnsi="楷体" w:eastAsia="楷体" w:cs="楷体"/>
          <w:b/>
          <w:bCs/>
          <w:i/>
          <w:color w:val="auto"/>
          <w:sz w:val="32"/>
          <w:szCs w:val="32"/>
        </w:rPr>
      </w:pP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因公出国（境）费支出决算为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万元，全年安排因公出国（境）团组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个，累计</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r>
        <w:rPr>
          <w:rFonts w:hint="eastAsia" w:ascii="Times New Roman" w:hAnsi="Times New Roman" w:eastAsia="仿宋_GB2312"/>
          <w:sz w:val="32"/>
          <w:szCs w:val="32"/>
          <w:lang w:eastAsia="zh-CN"/>
        </w:rPr>
        <w:t>，无开支。</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2、公务接待费支出决算为</w:t>
      </w:r>
      <w:r>
        <w:rPr>
          <w:rFonts w:hint="eastAsia" w:ascii="Times New Roman" w:hAnsi="Times New Roman" w:eastAsia="仿宋_GB2312"/>
          <w:sz w:val="32"/>
          <w:szCs w:val="32"/>
          <w:lang w:val="en-US" w:eastAsia="zh-CN"/>
        </w:rPr>
        <w:t>3.45</w:t>
      </w:r>
      <w:r>
        <w:rPr>
          <w:rFonts w:hint="eastAsia" w:ascii="Times New Roman" w:hAnsi="Times New Roman" w:eastAsia="仿宋_GB2312"/>
          <w:sz w:val="32"/>
          <w:szCs w:val="32"/>
        </w:rPr>
        <w:t>万元，全年共接待来访团组</w:t>
      </w:r>
      <w:r>
        <w:rPr>
          <w:rFonts w:hint="eastAsia" w:ascii="Times New Roman" w:hAnsi="Times New Roman" w:eastAsia="仿宋_GB2312"/>
          <w:sz w:val="32"/>
          <w:szCs w:val="32"/>
          <w:lang w:val="en-US" w:eastAsia="zh-CN"/>
        </w:rPr>
        <w:t>50</w:t>
      </w:r>
      <w:r>
        <w:rPr>
          <w:rFonts w:hint="eastAsia" w:ascii="Times New Roman" w:hAnsi="Times New Roman" w:eastAsia="仿宋_GB2312"/>
          <w:sz w:val="32"/>
          <w:szCs w:val="32"/>
        </w:rPr>
        <w:t>个、来宾</w:t>
      </w:r>
      <w:r>
        <w:rPr>
          <w:rFonts w:hint="eastAsia" w:ascii="Times New Roman" w:hAnsi="Times New Roman" w:eastAsia="仿宋_GB2312"/>
          <w:sz w:val="32"/>
          <w:szCs w:val="32"/>
          <w:lang w:val="en-US" w:eastAsia="zh-CN"/>
        </w:rPr>
        <w:t>343</w:t>
      </w:r>
      <w:r>
        <w:rPr>
          <w:rFonts w:hint="eastAsia" w:ascii="Times New Roman" w:hAnsi="Times New Roman" w:eastAsia="仿宋_GB2312"/>
          <w:sz w:val="32"/>
          <w:szCs w:val="32"/>
        </w:rPr>
        <w:t>人次，主要是</w:t>
      </w:r>
      <w:r>
        <w:rPr>
          <w:rFonts w:hint="eastAsia" w:ascii="Times New Roman" w:hAnsi="Times New Roman" w:eastAsia="仿宋_GB2312"/>
          <w:sz w:val="32"/>
          <w:szCs w:val="32"/>
          <w:lang w:eastAsia="zh-CN"/>
        </w:rPr>
        <w:t>接待上级民宗部门调研，检查，下级民宗部门汇报，其他地区民宗部门考察，交流，学习等</w:t>
      </w:r>
      <w:r>
        <w:rPr>
          <w:rFonts w:hint="eastAsia" w:ascii="Times New Roman" w:hAnsi="Times New Roman" w:eastAsia="仿宋_GB2312"/>
          <w:sz w:val="32"/>
          <w:szCs w:val="32"/>
        </w:rPr>
        <w:t>发生的接待支出。</w:t>
      </w:r>
    </w:p>
    <w:p>
      <w:pPr>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3、公务用车购置费及运行维护费支出决算为</w:t>
      </w:r>
      <w:r>
        <w:rPr>
          <w:rFonts w:hint="eastAsia" w:ascii="Times New Roman" w:hAnsi="Times New Roman" w:eastAsia="仿宋_GB2312"/>
          <w:sz w:val="32"/>
          <w:szCs w:val="32"/>
          <w:lang w:val="en-US" w:eastAsia="zh-CN"/>
        </w:rPr>
        <w:t>5.04</w:t>
      </w:r>
      <w:r>
        <w:rPr>
          <w:rFonts w:hint="eastAsia" w:ascii="Times New Roman" w:hAnsi="Times New Roman" w:eastAsia="仿宋_GB2312"/>
          <w:sz w:val="32"/>
          <w:szCs w:val="32"/>
        </w:rPr>
        <w:t>万元，其中：公务用车购置费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万元，公务用车运行维护费</w:t>
      </w:r>
      <w:r>
        <w:rPr>
          <w:rFonts w:hint="eastAsia" w:ascii="Times New Roman" w:hAnsi="Times New Roman" w:eastAsia="仿宋_GB2312"/>
          <w:sz w:val="32"/>
          <w:szCs w:val="32"/>
          <w:lang w:val="en-US" w:eastAsia="zh-CN"/>
        </w:rPr>
        <w:t>5.04</w:t>
      </w:r>
      <w:r>
        <w:rPr>
          <w:rFonts w:hint="eastAsia" w:ascii="Times New Roman" w:hAnsi="Times New Roman" w:eastAsia="仿宋_GB2312"/>
          <w:sz w:val="32"/>
          <w:szCs w:val="32"/>
        </w:rPr>
        <w:t>万元，主要是</w:t>
      </w:r>
      <w:r>
        <w:rPr>
          <w:rFonts w:hint="eastAsia" w:ascii="Times New Roman" w:hAnsi="Times New Roman" w:eastAsia="仿宋_GB2312"/>
          <w:sz w:val="32"/>
          <w:szCs w:val="32"/>
          <w:lang w:eastAsia="zh-CN"/>
        </w:rPr>
        <w:t>车辆油料费，车辆维护和保养费，过桥过路费，车辆保险费</w:t>
      </w:r>
      <w:r>
        <w:rPr>
          <w:rFonts w:hint="eastAsia" w:ascii="Times New Roman" w:hAnsi="Times New Roman" w:eastAsia="仿宋_GB2312"/>
          <w:sz w:val="32"/>
          <w:szCs w:val="32"/>
        </w:rPr>
        <w:t>支出，截止202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年12月31日，我单位开支财政拨款的公务用车保有量为</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辆。</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年度政府性基金预算财政拨款收入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万元；年初结转和结</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万元，项目支出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万元；年末结转和结余万</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元。</w:t>
      </w:r>
      <w:r>
        <w:rPr>
          <w:rFonts w:hint="eastAsia" w:ascii="Times New Roman" w:hAnsi="Times New Roman" w:eastAsia="仿宋_GB2312"/>
          <w:sz w:val="32"/>
          <w:szCs w:val="32"/>
          <w:lang w:eastAsia="zh-CN"/>
        </w:rPr>
        <w:t>本单位无政府性基金收支。</w:t>
      </w:r>
    </w:p>
    <w:p>
      <w:pPr>
        <w:pStyle w:val="15"/>
        <w:numPr>
          <w:ilvl w:val="0"/>
          <w:numId w:val="3"/>
        </w:numPr>
        <w:ind w:left="641" w:leftChars="0" w:firstLine="0" w:firstLineChars="0"/>
        <w:rPr>
          <w:rFonts w:hint="eastAsia"/>
          <w:b/>
          <w:sz w:val="32"/>
          <w:szCs w:val="32"/>
          <w:lang w:val="en-US" w:eastAsia="zh-CN"/>
        </w:rPr>
      </w:pPr>
      <w:r>
        <w:rPr>
          <w:rFonts w:hint="eastAsia"/>
          <w:b/>
          <w:sz w:val="32"/>
          <w:szCs w:val="32"/>
          <w:lang w:val="en-US" w:eastAsia="zh-CN"/>
        </w:rPr>
        <w:t>国有资本经营预算财政拨款收入支出决算情况说明</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2024年度国有资本经营预算财政拨款收入0万元，其中基本支出0万元，项目支出0万元，本单位无国有资本经营预算财政拨款支出。</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hAnsi="黑体" w:cs="黑体"/>
          <w:b/>
          <w:bCs w:val="0"/>
          <w:sz w:val="32"/>
          <w:szCs w:val="32"/>
          <w:lang w:eastAsia="zh-CN"/>
        </w:rPr>
        <w:t>十</w:t>
      </w:r>
      <w:r>
        <w:rPr>
          <w:rFonts w:hint="eastAsia" w:ascii="黑体" w:hAnsi="黑体" w:eastAsia="黑体" w:cs="黑体"/>
          <w:b w:val="0"/>
          <w:bCs/>
          <w:sz w:val="32"/>
          <w:szCs w:val="32"/>
        </w:rPr>
        <w:t>、关于机关运行经费支出说明</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年度机关运行经费支出</w:t>
      </w:r>
      <w:r>
        <w:rPr>
          <w:rFonts w:hint="eastAsia" w:ascii="Times New Roman" w:hAnsi="Times New Roman" w:eastAsia="仿宋_GB2312"/>
          <w:sz w:val="32"/>
          <w:szCs w:val="32"/>
          <w:lang w:val="en-US" w:eastAsia="zh-CN"/>
        </w:rPr>
        <w:t>55.71</w:t>
      </w:r>
      <w:r>
        <w:rPr>
          <w:rFonts w:hint="eastAsia" w:ascii="Times New Roman" w:hAnsi="Times New Roman" w:eastAsia="仿宋_GB2312"/>
          <w:sz w:val="32"/>
          <w:szCs w:val="32"/>
        </w:rPr>
        <w:t>万元，比年初预算数减少</w:t>
      </w:r>
      <w:r>
        <w:rPr>
          <w:rFonts w:hint="eastAsia" w:ascii="Times New Roman" w:hAnsi="Times New Roman" w:eastAsia="仿宋_GB2312"/>
          <w:sz w:val="32"/>
          <w:szCs w:val="32"/>
          <w:lang w:val="en-US" w:eastAsia="zh-CN"/>
        </w:rPr>
        <w:t>4.29</w:t>
      </w:r>
      <w:r>
        <w:rPr>
          <w:rFonts w:hint="eastAsia" w:ascii="Times New Roman" w:hAnsi="Times New Roman" w:eastAsia="仿宋_GB2312"/>
          <w:sz w:val="32"/>
          <w:szCs w:val="32"/>
        </w:rPr>
        <w:t xml:space="preserve"> 万元，降低</w:t>
      </w:r>
      <w:r>
        <w:rPr>
          <w:rFonts w:hint="eastAsia" w:ascii="Times New Roman" w:hAnsi="Times New Roman" w:eastAsia="仿宋_GB2312"/>
          <w:sz w:val="32"/>
          <w:szCs w:val="32"/>
          <w:lang w:val="en-US" w:eastAsia="zh-CN"/>
        </w:rPr>
        <w:t>7.15</w:t>
      </w:r>
      <w:r>
        <w:rPr>
          <w:rFonts w:hint="eastAsia" w:ascii="Times New Roman" w:hAnsi="Times New Roman" w:eastAsia="仿宋_GB2312"/>
          <w:sz w:val="32"/>
          <w:szCs w:val="32"/>
        </w:rPr>
        <w:t>%。主要原因是：</w:t>
      </w:r>
      <w:r>
        <w:rPr>
          <w:rFonts w:hint="eastAsia" w:ascii="Times New Roman" w:hAnsi="Times New Roman" w:eastAsia="仿宋_GB2312"/>
          <w:sz w:val="32"/>
          <w:szCs w:val="32"/>
          <w:lang w:eastAsia="zh-CN"/>
        </w:rPr>
        <w:t>厉行勤俭节约，压缩机关运行的开支。</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hAnsi="黑体" w:cs="黑体"/>
          <w:b/>
          <w:bCs w:val="0"/>
          <w:sz w:val="32"/>
          <w:szCs w:val="32"/>
          <w:lang w:eastAsia="zh-CN"/>
        </w:rPr>
        <w:t>十一</w:t>
      </w:r>
      <w:r>
        <w:rPr>
          <w:rFonts w:hint="eastAsia" w:ascii="黑体" w:hAnsi="黑体" w:eastAsia="黑体" w:cs="黑体"/>
          <w:b w:val="0"/>
          <w:bCs/>
          <w:sz w:val="32"/>
          <w:szCs w:val="32"/>
          <w:lang w:eastAsia="zh-CN"/>
        </w:rPr>
        <w:t>、</w:t>
      </w:r>
      <w:r>
        <w:rPr>
          <w:rFonts w:hint="eastAsia" w:ascii="黑体" w:hAnsi="黑体" w:eastAsia="黑体" w:cs="黑体"/>
          <w:b w:val="0"/>
          <w:bCs/>
          <w:sz w:val="32"/>
          <w:szCs w:val="32"/>
        </w:rPr>
        <w:t>一般性支出情况说明</w:t>
      </w:r>
    </w:p>
    <w:p>
      <w:pPr>
        <w:snapToGrid w:val="0"/>
        <w:spacing w:line="52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会议费本年度支出</w:t>
      </w:r>
      <w:r>
        <w:rPr>
          <w:rFonts w:hint="eastAsia" w:ascii="Times New Roman" w:hAnsi="Times New Roman" w:eastAsia="仿宋_GB2312" w:cs="黑体"/>
          <w:color w:val="000000"/>
          <w:kern w:val="0"/>
          <w:sz w:val="32"/>
          <w:szCs w:val="32"/>
          <w:lang w:val="en-US" w:eastAsia="zh-CN" w:bidi="ar-SA"/>
        </w:rPr>
        <w:t>0.64</w:t>
      </w:r>
      <w:r>
        <w:rPr>
          <w:rFonts w:hint="eastAsia" w:ascii="仿宋_GB2312" w:hAnsi="仿宋" w:eastAsia="仿宋_GB2312"/>
          <w:sz w:val="32"/>
          <w:szCs w:val="32"/>
        </w:rPr>
        <w:t>万元，与上年度相比，</w:t>
      </w:r>
      <w:r>
        <w:rPr>
          <w:rFonts w:hint="eastAsia" w:ascii="仿宋_GB2312" w:hAnsi="仿宋" w:eastAsia="仿宋_GB2312"/>
          <w:sz w:val="32"/>
          <w:szCs w:val="32"/>
          <w:lang w:eastAsia="zh-CN"/>
        </w:rPr>
        <w:t>减少</w:t>
      </w:r>
      <w:r>
        <w:rPr>
          <w:rFonts w:hint="eastAsia" w:ascii="Times New Roman" w:hAnsi="Times New Roman" w:eastAsia="仿宋_GB2312" w:cs="黑体"/>
          <w:color w:val="000000"/>
          <w:kern w:val="0"/>
          <w:sz w:val="32"/>
          <w:szCs w:val="32"/>
          <w:lang w:val="en-US" w:eastAsia="zh-CN" w:bidi="ar-SA"/>
        </w:rPr>
        <w:t>5.08</w:t>
      </w:r>
      <w:r>
        <w:rPr>
          <w:rFonts w:hint="eastAsia" w:ascii="仿宋_GB2312" w:hAnsi="仿宋" w:eastAsia="仿宋_GB2312"/>
          <w:sz w:val="32"/>
          <w:szCs w:val="32"/>
        </w:rPr>
        <w:t>万元。原因是本年度</w:t>
      </w:r>
      <w:r>
        <w:rPr>
          <w:rFonts w:hint="eastAsia" w:ascii="仿宋_GB2312" w:hAnsi="仿宋" w:eastAsia="仿宋_GB2312"/>
          <w:sz w:val="32"/>
          <w:szCs w:val="32"/>
          <w:lang w:eastAsia="zh-CN"/>
        </w:rPr>
        <w:t>减少</w:t>
      </w:r>
      <w:r>
        <w:rPr>
          <w:rFonts w:hint="eastAsia" w:ascii="仿宋_GB2312" w:hAnsi="仿宋" w:eastAsia="仿宋_GB2312"/>
          <w:sz w:val="32"/>
          <w:szCs w:val="32"/>
        </w:rPr>
        <w:t>3个专项业务，召开会议较</w:t>
      </w:r>
      <w:r>
        <w:rPr>
          <w:rFonts w:hint="eastAsia" w:ascii="仿宋_GB2312" w:hAnsi="仿宋" w:eastAsia="仿宋_GB2312"/>
          <w:sz w:val="32"/>
          <w:szCs w:val="32"/>
          <w:lang w:eastAsia="zh-CN"/>
        </w:rPr>
        <w:t>少</w:t>
      </w:r>
      <w:r>
        <w:rPr>
          <w:rFonts w:hint="eastAsia" w:ascii="仿宋_GB2312" w:hAnsi="仿宋" w:eastAsia="仿宋_GB2312"/>
          <w:sz w:val="32"/>
          <w:szCs w:val="32"/>
        </w:rPr>
        <w:t>。</w:t>
      </w:r>
    </w:p>
    <w:p>
      <w:pPr>
        <w:snapToGrid w:val="0"/>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培训费本年度支出</w:t>
      </w:r>
      <w:r>
        <w:rPr>
          <w:rFonts w:hint="eastAsia" w:ascii="仿宋_GB2312" w:hAnsi="仿宋" w:eastAsia="仿宋_GB2312"/>
          <w:sz w:val="32"/>
          <w:szCs w:val="32"/>
          <w:lang w:val="en-US" w:eastAsia="zh-CN"/>
        </w:rPr>
        <w:t>1.12</w:t>
      </w:r>
      <w:r>
        <w:rPr>
          <w:rFonts w:hint="eastAsia" w:ascii="仿宋_GB2312" w:hAnsi="仿宋" w:eastAsia="仿宋_GB2312"/>
          <w:sz w:val="32"/>
          <w:szCs w:val="32"/>
        </w:rPr>
        <w:t>万元，与上年度相比，</w:t>
      </w:r>
      <w:r>
        <w:rPr>
          <w:rFonts w:hint="eastAsia" w:ascii="仿宋_GB2312" w:hAnsi="仿宋" w:eastAsia="仿宋_GB2312"/>
          <w:sz w:val="32"/>
          <w:szCs w:val="32"/>
          <w:lang w:eastAsia="zh-CN"/>
        </w:rPr>
        <w:t>减少</w:t>
      </w:r>
      <w:r>
        <w:rPr>
          <w:rFonts w:hint="eastAsia" w:ascii="仿宋_GB2312" w:hAnsi="仿宋" w:eastAsia="仿宋_GB2312"/>
          <w:sz w:val="32"/>
          <w:szCs w:val="32"/>
          <w:lang w:val="en-US" w:eastAsia="zh-CN"/>
        </w:rPr>
        <w:t>0.62</w:t>
      </w:r>
      <w:r>
        <w:rPr>
          <w:rFonts w:hint="eastAsia" w:ascii="仿宋_GB2312" w:hAnsi="仿宋" w:eastAsia="仿宋_GB2312"/>
          <w:sz w:val="32"/>
          <w:szCs w:val="32"/>
        </w:rPr>
        <w:t>万元，原因是</w:t>
      </w:r>
      <w:r>
        <w:rPr>
          <w:rFonts w:hint="eastAsia" w:ascii="仿宋_GB2312" w:hAnsi="仿宋" w:eastAsia="仿宋_GB2312"/>
          <w:sz w:val="32"/>
          <w:szCs w:val="32"/>
          <w:lang w:eastAsia="zh-CN"/>
        </w:rPr>
        <w:t>本年度减少</w:t>
      </w:r>
      <w:r>
        <w:rPr>
          <w:rFonts w:hint="eastAsia" w:ascii="仿宋_GB2312" w:hAnsi="仿宋" w:eastAsia="仿宋_GB2312"/>
          <w:sz w:val="32"/>
          <w:szCs w:val="32"/>
        </w:rPr>
        <w:t>3个专项业务</w:t>
      </w:r>
      <w:r>
        <w:rPr>
          <w:rFonts w:hint="eastAsia" w:ascii="仿宋_GB2312" w:hAnsi="仿宋" w:eastAsia="仿宋_GB2312"/>
          <w:sz w:val="32"/>
          <w:szCs w:val="32"/>
          <w:lang w:eastAsia="zh-CN"/>
        </w:rPr>
        <w:t>，培训业务较少。</w:t>
      </w:r>
      <w:r>
        <w:rPr>
          <w:rFonts w:hint="eastAsia" w:ascii="仿宋_GB2312" w:hAnsi="仿宋" w:eastAsia="仿宋_GB2312"/>
          <w:sz w:val="32"/>
          <w:szCs w:val="32"/>
        </w:rPr>
        <w:t xml:space="preserve"> </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年本部门开支会议费</w:t>
      </w:r>
      <w:r>
        <w:rPr>
          <w:rFonts w:hint="eastAsia" w:ascii="Times New Roman" w:hAnsi="Times New Roman" w:eastAsia="仿宋_GB2312"/>
          <w:sz w:val="32"/>
          <w:szCs w:val="32"/>
          <w:lang w:val="en-US" w:eastAsia="zh-CN"/>
        </w:rPr>
        <w:t>0.64</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用于召开全市民宗局长会议，人数</w:t>
      </w:r>
      <w:r>
        <w:rPr>
          <w:rFonts w:hint="eastAsia" w:ascii="Times New Roman" w:hAnsi="Times New Roman" w:eastAsia="仿宋_GB2312"/>
          <w:sz w:val="32"/>
          <w:szCs w:val="32"/>
          <w:lang w:val="en-US" w:eastAsia="zh-CN"/>
        </w:rPr>
        <w:t>63人，预算1.01万元，实际开支0.56万元，内容是深入学习贯彻全国民委主任会议、全省民宗局长会议精神，全面总结2023工作，安排部署2024年主要任务；</w:t>
      </w:r>
      <w:r>
        <w:rPr>
          <w:rFonts w:hint="eastAsia" w:ascii="Times New Roman" w:hAnsi="Times New Roman" w:eastAsia="仿宋_GB2312"/>
          <w:sz w:val="32"/>
          <w:szCs w:val="32"/>
        </w:rPr>
        <w:t>用于召开</w:t>
      </w:r>
      <w:r>
        <w:rPr>
          <w:rFonts w:hint="eastAsia" w:ascii="Times New Roman" w:hAnsi="Times New Roman" w:eastAsia="仿宋_GB2312"/>
          <w:sz w:val="32"/>
          <w:szCs w:val="32"/>
          <w:lang w:eastAsia="zh-CN"/>
        </w:rPr>
        <w:t>全市民宗教局长工作座谈会，人数</w:t>
      </w:r>
      <w:r>
        <w:rPr>
          <w:rFonts w:hint="eastAsia" w:ascii="Times New Roman" w:hAnsi="Times New Roman" w:eastAsia="仿宋_GB2312"/>
          <w:sz w:val="32"/>
          <w:szCs w:val="32"/>
          <w:lang w:val="en-US" w:eastAsia="zh-CN"/>
        </w:rPr>
        <w:t>16人，</w:t>
      </w:r>
      <w:r>
        <w:rPr>
          <w:rFonts w:hint="eastAsia" w:ascii="Times New Roman" w:hAnsi="Times New Roman" w:eastAsia="仿宋_GB2312"/>
          <w:sz w:val="32"/>
          <w:szCs w:val="32"/>
          <w:lang w:eastAsia="zh-CN"/>
        </w:rPr>
        <w:t>经费预算</w:t>
      </w:r>
      <w:r>
        <w:rPr>
          <w:rFonts w:hint="eastAsia" w:ascii="Times New Roman" w:hAnsi="Times New Roman" w:eastAsia="仿宋_GB2312"/>
          <w:sz w:val="32"/>
          <w:szCs w:val="32"/>
          <w:lang w:val="en-US" w:eastAsia="zh-CN"/>
        </w:rPr>
        <w:t>0.11万元，实际开支0.084万。内容为全市13个县市区民族局长就2024年度工作及下步打算作发言。2024年本部门开支培训费1.12万元，用于召开关于怀化市开展普通高校招生享受民族优惠政策考生资格审核系统操作培训，人数160人，预算1万元，实际开支1万元，对享受民族优惠政策的考生资格审核系统的操作培训；用于支付本单单位人员因公培训报名费0.12万元。没有举办</w:t>
      </w:r>
      <w:r>
        <w:rPr>
          <w:rFonts w:hint="eastAsia" w:ascii="Times New Roman" w:hAnsi="Times New Roman" w:eastAsia="仿宋_GB2312"/>
          <w:sz w:val="32"/>
          <w:szCs w:val="32"/>
        </w:rPr>
        <w:t>节庆、晚会、论坛、赛事活动，开支</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p>
    <w:p>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bCs w:val="0"/>
          <w:sz w:val="32"/>
          <w:szCs w:val="32"/>
        </w:rPr>
        <w:t>十</w:t>
      </w:r>
      <w:r>
        <w:rPr>
          <w:rFonts w:hint="eastAsia" w:hAnsi="黑体" w:cs="黑体"/>
          <w:b/>
          <w:bCs w:val="0"/>
          <w:sz w:val="32"/>
          <w:szCs w:val="32"/>
          <w:lang w:eastAsia="zh-CN"/>
        </w:rPr>
        <w:t>二</w:t>
      </w:r>
      <w:r>
        <w:rPr>
          <w:rFonts w:hint="eastAsia" w:ascii="黑体" w:hAnsi="黑体" w:eastAsia="黑体" w:cs="黑体"/>
          <w:b w:val="0"/>
          <w:bCs/>
          <w:sz w:val="32"/>
          <w:szCs w:val="32"/>
        </w:rPr>
        <w:t>、关于政府采购支出说明</w:t>
      </w:r>
    </w:p>
    <w:p>
      <w:pPr>
        <w:pStyle w:val="15"/>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年度政府采购支出总额</w:t>
      </w:r>
      <w:r>
        <w:rPr>
          <w:rFonts w:hint="eastAsia" w:ascii="Times New Roman" w:hAnsi="Times New Roman" w:eastAsia="仿宋_GB2312"/>
          <w:sz w:val="32"/>
          <w:szCs w:val="32"/>
          <w:lang w:val="en-US" w:eastAsia="zh-CN"/>
        </w:rPr>
        <w:t>119.72</w:t>
      </w:r>
      <w:r>
        <w:rPr>
          <w:rFonts w:hint="eastAsia" w:ascii="Times New Roman" w:hAnsi="Times New Roman" w:eastAsia="仿宋_GB2312"/>
          <w:sz w:val="32"/>
          <w:szCs w:val="32"/>
        </w:rPr>
        <w:t>万元，其中：政府采购货物支出</w:t>
      </w:r>
      <w:r>
        <w:rPr>
          <w:rFonts w:hint="eastAsia" w:ascii="Times New Roman" w:hAnsi="Times New Roman" w:eastAsia="仿宋_GB2312"/>
          <w:sz w:val="32"/>
          <w:szCs w:val="32"/>
          <w:lang w:val="en-US" w:eastAsia="zh-CN"/>
        </w:rPr>
        <w:t>88.23</w:t>
      </w:r>
      <w:r>
        <w:rPr>
          <w:rFonts w:hint="eastAsia" w:ascii="Times New Roman" w:hAnsi="Times New Roman" w:eastAsia="仿宋_GB2312"/>
          <w:sz w:val="32"/>
          <w:szCs w:val="32"/>
        </w:rPr>
        <w:t>万元、政府采购工程支出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万元、政府采购服务支出</w:t>
      </w:r>
      <w:r>
        <w:rPr>
          <w:rFonts w:hint="eastAsia" w:ascii="Times New Roman" w:hAnsi="Times New Roman" w:eastAsia="仿宋_GB2312"/>
          <w:sz w:val="32"/>
          <w:szCs w:val="32"/>
          <w:lang w:val="en-US" w:eastAsia="zh-CN"/>
        </w:rPr>
        <w:t>31.5</w:t>
      </w:r>
      <w:r>
        <w:rPr>
          <w:rFonts w:hint="eastAsia" w:ascii="Times New Roman" w:hAnsi="Times New Roman" w:eastAsia="仿宋_GB2312"/>
          <w:sz w:val="32"/>
          <w:szCs w:val="32"/>
        </w:rPr>
        <w:t>万元。授予中小企业合同金额</w:t>
      </w:r>
      <w:r>
        <w:rPr>
          <w:rFonts w:hint="eastAsia" w:ascii="Times New Roman" w:hAnsi="Times New Roman" w:eastAsia="仿宋_GB2312"/>
          <w:sz w:val="32"/>
          <w:szCs w:val="32"/>
          <w:lang w:val="en-US" w:eastAsia="zh-CN"/>
        </w:rPr>
        <w:t>119.72</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%，其中：授予小微企业合同金额</w:t>
      </w:r>
      <w:r>
        <w:rPr>
          <w:rFonts w:hint="eastAsia" w:ascii="Times New Roman" w:hAnsi="Times New Roman" w:eastAsia="仿宋_GB2312"/>
          <w:sz w:val="32"/>
          <w:szCs w:val="32"/>
          <w:lang w:val="en-US" w:eastAsia="zh-CN"/>
        </w:rPr>
        <w:t>119.72</w:t>
      </w:r>
      <w:r>
        <w:rPr>
          <w:rFonts w:hint="eastAsia" w:ascii="Times New Roman" w:hAnsi="Times New Roman" w:eastAsia="仿宋_GB2312"/>
          <w:sz w:val="32"/>
          <w:szCs w:val="32"/>
        </w:rPr>
        <w:t>万元，</w:t>
      </w:r>
      <w:r>
        <w:rPr>
          <w:rFonts w:hint="eastAsia" w:ascii="Times New Roman" w:hAnsi="Times New Roman" w:eastAsia="仿宋_GB2312"/>
          <w:color w:val="auto"/>
          <w:sz w:val="32"/>
          <w:szCs w:val="32"/>
        </w:rPr>
        <w:t>占</w:t>
      </w:r>
      <w:r>
        <w:rPr>
          <w:rFonts w:hint="eastAsia" w:ascii="Times New Roman" w:hAnsi="Times New Roman" w:eastAsia="仿宋_GB2312"/>
          <w:color w:val="auto"/>
          <w:sz w:val="32"/>
          <w:szCs w:val="32"/>
          <w:lang w:eastAsia="zh-CN"/>
        </w:rPr>
        <w:t>授予中小企业合同金额</w:t>
      </w:r>
      <w:r>
        <w:rPr>
          <w:rFonts w:hint="eastAsia" w:ascii="Times New Roman" w:hAnsi="Times New Roman" w:eastAsia="仿宋_GB2312"/>
          <w:color w:val="auto"/>
          <w:sz w:val="32"/>
          <w:szCs w:val="32"/>
        </w:rPr>
        <w:t>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%。货物采购授予中小企业合同金额占货物支出金额的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%，工程采购授予中小企业合同金额占工程支出金额的</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%，服务采购授予中小企业合同金额占服务支出金额的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w:t>
      </w:r>
    </w:p>
    <w:p>
      <w:pPr>
        <w:pStyle w:val="15"/>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bCs w:val="0"/>
          <w:color w:val="auto"/>
          <w:sz w:val="32"/>
          <w:szCs w:val="32"/>
        </w:rPr>
        <w:t>十</w:t>
      </w:r>
      <w:r>
        <w:rPr>
          <w:rFonts w:hint="eastAsia" w:hAnsi="黑体" w:cs="黑体"/>
          <w:b/>
          <w:bCs w:val="0"/>
          <w:color w:val="auto"/>
          <w:sz w:val="32"/>
          <w:szCs w:val="32"/>
          <w:lang w:eastAsia="zh-CN"/>
        </w:rPr>
        <w:t>三</w:t>
      </w:r>
      <w:r>
        <w:rPr>
          <w:rFonts w:hint="eastAsia" w:ascii="黑体" w:hAnsi="黑体" w:eastAsia="黑体" w:cs="黑体"/>
          <w:b w:val="0"/>
          <w:bCs/>
          <w:color w:val="auto"/>
          <w:sz w:val="32"/>
          <w:szCs w:val="32"/>
        </w:rPr>
        <w:t>、关于国有资产占用情况说明</w:t>
      </w:r>
    </w:p>
    <w:p>
      <w:pPr>
        <w:pStyle w:val="15"/>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截至202</w:t>
      </w:r>
      <w:r>
        <w:rPr>
          <w:rFonts w:hint="eastAsia" w:ascii="Times New Roman" w:hAnsi="Times New Roman" w:eastAsia="仿宋_GB2312"/>
          <w:color w:val="auto"/>
          <w:sz w:val="32"/>
          <w:szCs w:val="32"/>
          <w:lang w:val="en-US" w:eastAsia="zh-CN"/>
        </w:rPr>
        <w:t>4</w:t>
      </w:r>
      <w:r>
        <w:rPr>
          <w:rFonts w:hint="eastAsia" w:ascii="Times New Roman" w:hAnsi="Times New Roman" w:eastAsia="仿宋_GB2312"/>
          <w:color w:val="auto"/>
          <w:sz w:val="32"/>
          <w:szCs w:val="32"/>
        </w:rPr>
        <w:t>年12月31日，</w:t>
      </w:r>
      <w:r>
        <w:rPr>
          <w:rFonts w:hint="eastAsia" w:ascii="Times New Roman" w:hAnsi="Times New Roman" w:eastAsia="仿宋_GB2312"/>
          <w:color w:val="auto"/>
          <w:sz w:val="32"/>
          <w:szCs w:val="32"/>
          <w:lang w:eastAsia="zh-CN"/>
        </w:rPr>
        <w:t>部门（单位）</w:t>
      </w:r>
      <w:r>
        <w:rPr>
          <w:rFonts w:hint="eastAsia" w:ascii="Times New Roman" w:hAnsi="Times New Roman" w:eastAsia="仿宋_GB2312"/>
          <w:color w:val="auto"/>
          <w:sz w:val="32"/>
          <w:szCs w:val="32"/>
        </w:rPr>
        <w:t>共有车辆</w:t>
      </w:r>
      <w:r>
        <w:rPr>
          <w:rFonts w:hint="eastAsia" w:ascii="Times New Roman" w:hAnsi="Times New Roman" w:eastAsia="仿宋_GB2312"/>
          <w:color w:val="auto"/>
          <w:sz w:val="32"/>
          <w:szCs w:val="32"/>
          <w:lang w:val="en-US" w:eastAsia="zh-CN"/>
        </w:rPr>
        <w:t>1</w:t>
      </w:r>
      <w:r>
        <w:rPr>
          <w:rFonts w:hint="eastAsia" w:ascii="Times New Roman" w:hAnsi="Times New Roman" w:eastAsia="仿宋_GB2312"/>
          <w:color w:val="auto"/>
          <w:sz w:val="32"/>
          <w:szCs w:val="32"/>
        </w:rPr>
        <w:t>辆，其中</w:t>
      </w:r>
      <w:r>
        <w:rPr>
          <w:rFonts w:hint="eastAsia" w:ascii="Times New Roman" w:hAnsi="Times New Roman" w:eastAsia="仿宋_GB2312"/>
          <w:color w:val="auto"/>
          <w:sz w:val="32"/>
          <w:szCs w:val="32"/>
          <w:lang w:eastAsia="zh-CN"/>
        </w:rPr>
        <w:t>，副部（省）级及以上领导用车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主要</w:t>
      </w:r>
      <w:r>
        <w:rPr>
          <w:rFonts w:hint="eastAsia" w:ascii="Times New Roman" w:hAnsi="Times New Roman" w:eastAsia="仿宋_GB2312"/>
          <w:color w:val="auto"/>
          <w:sz w:val="32"/>
          <w:szCs w:val="32"/>
          <w:lang w:eastAsia="zh-CN"/>
        </w:rPr>
        <w:t>负责人</w:t>
      </w:r>
      <w:r>
        <w:rPr>
          <w:rFonts w:hint="eastAsia" w:ascii="Times New Roman" w:hAnsi="Times New Roman" w:eastAsia="仿宋_GB2312"/>
          <w:color w:val="auto"/>
          <w:sz w:val="32"/>
          <w:szCs w:val="32"/>
        </w:rPr>
        <w:t>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机要通信用车</w:t>
      </w:r>
      <w:r>
        <w:rPr>
          <w:rFonts w:hint="eastAsia" w:ascii="Times New Roman" w:hAnsi="Times New Roman" w:eastAsia="仿宋_GB2312"/>
          <w:color w:val="auto"/>
          <w:sz w:val="32"/>
          <w:szCs w:val="32"/>
          <w:lang w:val="en-US" w:eastAsia="zh-CN"/>
        </w:rPr>
        <w:t>1</w:t>
      </w:r>
      <w:r>
        <w:rPr>
          <w:rFonts w:hint="eastAsia" w:ascii="Times New Roman" w:hAnsi="Times New Roman" w:eastAsia="仿宋_GB2312"/>
          <w:color w:val="auto"/>
          <w:sz w:val="32"/>
          <w:szCs w:val="32"/>
        </w:rPr>
        <w:t>辆、应急保障用车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辆、执法执勤用车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辆、特种专业技术用车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离退休干部服务用车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辆、其他用车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辆，单位价值100万元以上设备</w:t>
      </w:r>
      <w:r>
        <w:rPr>
          <w:rFonts w:hint="eastAsia" w:ascii="Times New Roman" w:hAnsi="Times New Roman" w:eastAsia="仿宋_GB2312"/>
          <w:color w:val="auto"/>
          <w:sz w:val="32"/>
          <w:szCs w:val="32"/>
          <w:lang w:eastAsia="zh-CN"/>
        </w:rPr>
        <w:t>（不含车辆）</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台（套）。</w:t>
      </w:r>
    </w:p>
    <w:p>
      <w:pPr>
        <w:pStyle w:val="15"/>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bCs w:val="0"/>
          <w:color w:val="auto"/>
          <w:sz w:val="32"/>
          <w:szCs w:val="32"/>
        </w:rPr>
        <w:t>十</w:t>
      </w:r>
      <w:r>
        <w:rPr>
          <w:rFonts w:hint="eastAsia" w:hAnsi="黑体" w:cs="黑体"/>
          <w:b/>
          <w:bCs w:val="0"/>
          <w:color w:val="auto"/>
          <w:sz w:val="32"/>
          <w:szCs w:val="32"/>
          <w:lang w:eastAsia="zh-CN"/>
        </w:rPr>
        <w:t>四</w:t>
      </w:r>
      <w:r>
        <w:rPr>
          <w:rFonts w:hint="eastAsia" w:ascii="黑体" w:hAnsi="黑体" w:eastAsia="黑体" w:cs="黑体"/>
          <w:b w:val="0"/>
          <w:bCs/>
          <w:color w:val="auto"/>
          <w:sz w:val="32"/>
          <w:szCs w:val="32"/>
        </w:rPr>
        <w:t>、关于</w:t>
      </w: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4</w:t>
      </w:r>
      <w:r>
        <w:rPr>
          <w:rFonts w:hint="eastAsia" w:ascii="黑体" w:hAnsi="黑体" w:eastAsia="黑体" w:cs="黑体"/>
          <w:b w:val="0"/>
          <w:bCs/>
          <w:color w:val="auto"/>
          <w:sz w:val="32"/>
          <w:szCs w:val="32"/>
        </w:rPr>
        <w:t>年度</w:t>
      </w:r>
      <w:r>
        <w:rPr>
          <w:rFonts w:hint="eastAsia" w:hAnsi="黑体" w:cs="黑体"/>
          <w:b w:val="0"/>
          <w:bCs/>
          <w:color w:val="auto"/>
          <w:sz w:val="32"/>
          <w:szCs w:val="32"/>
          <w:lang w:eastAsia="zh-CN"/>
        </w:rPr>
        <w:t>预算</w:t>
      </w:r>
      <w:r>
        <w:rPr>
          <w:rFonts w:hint="eastAsia" w:ascii="黑体" w:hAnsi="黑体" w:eastAsia="黑体" w:cs="黑体"/>
          <w:b w:val="0"/>
          <w:bCs/>
          <w:color w:val="auto"/>
          <w:sz w:val="32"/>
          <w:szCs w:val="32"/>
        </w:rPr>
        <w:t>绩效情况的说明</w:t>
      </w:r>
    </w:p>
    <w:p>
      <w:pPr>
        <w:pStyle w:val="15"/>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lang w:eastAsia="zh-CN"/>
        </w:rPr>
        <w:t>（一）绩效管理工作开展情况</w:t>
      </w:r>
    </w:p>
    <w:p>
      <w:pPr>
        <w:pStyle w:val="3"/>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outlineLvl w:val="9"/>
        <w:rPr>
          <w:rFonts w:hint="eastAsia" w:ascii="仿宋_GB2312" w:hAnsi="仿宋_GB2312" w:eastAsia="仿宋_GB2312" w:cs="仿宋_GB2312"/>
          <w:kern w:val="2"/>
          <w:sz w:val="32"/>
          <w:szCs w:val="32"/>
          <w:u w:val="none"/>
          <w:lang w:val="en-US" w:eastAsia="zh-CN" w:bidi="ar-SA"/>
        </w:rPr>
      </w:pPr>
      <w:r>
        <w:rPr>
          <w:rFonts w:hint="eastAsia" w:ascii="仿宋_GB2312" w:hAnsi="仿宋_GB2312" w:eastAsia="仿宋_GB2312" w:cs="仿宋_GB2312"/>
          <w:kern w:val="2"/>
          <w:sz w:val="32"/>
          <w:szCs w:val="32"/>
          <w:u w:val="none"/>
          <w:lang w:val="en-US" w:eastAsia="zh-CN" w:bidi="ar-SA"/>
        </w:rPr>
        <w:t>2024年，根据财政下达的预算资金使用预算资金全面完成本局的职责，职能，预算资金的使用达到到了既定的绩效目标。</w:t>
      </w:r>
    </w:p>
    <w:p>
      <w:pPr>
        <w:pStyle w:val="15"/>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（二）</w:t>
      </w:r>
      <w:r>
        <w:rPr>
          <w:rFonts w:hint="eastAsia" w:ascii="楷体" w:hAnsi="楷体" w:eastAsia="楷体" w:cs="楷体"/>
          <w:b/>
          <w:bCs/>
          <w:sz w:val="32"/>
          <w:szCs w:val="32"/>
        </w:rPr>
        <w:t>部门</w:t>
      </w:r>
      <w:r>
        <w:rPr>
          <w:rFonts w:hint="eastAsia" w:ascii="楷体" w:hAnsi="楷体" w:eastAsia="楷体" w:cs="楷体"/>
          <w:b/>
          <w:bCs/>
          <w:sz w:val="32"/>
          <w:szCs w:val="32"/>
          <w:lang w:eastAsia="zh-CN"/>
        </w:rPr>
        <w:t>（单位）</w:t>
      </w:r>
      <w:r>
        <w:rPr>
          <w:rFonts w:hint="eastAsia" w:ascii="楷体" w:hAnsi="楷体" w:eastAsia="楷体" w:cs="楷体"/>
          <w:b/>
          <w:bCs/>
          <w:sz w:val="32"/>
          <w:szCs w:val="32"/>
        </w:rPr>
        <w:t>整体支出绩效情况</w:t>
      </w:r>
    </w:p>
    <w:p>
      <w:pPr>
        <w:spacing w:line="600" w:lineRule="exact"/>
        <w:ind w:firstLine="640" w:firstLineChars="200"/>
        <w:rPr>
          <w:rFonts w:hint="eastAsia" w:ascii="楷体_GB2312" w:hAnsi="仿宋" w:eastAsia="楷体_GB2312"/>
          <w:b/>
          <w:sz w:val="32"/>
          <w:szCs w:val="32"/>
        </w:rPr>
      </w:pPr>
      <w:r>
        <w:rPr>
          <w:rFonts w:hint="eastAsia" w:ascii="楷体_GB2312" w:hAnsi="仿宋" w:eastAsia="楷体_GB2312"/>
          <w:b/>
          <w:sz w:val="32"/>
          <w:szCs w:val="32"/>
        </w:rPr>
        <w:t>当年取得的主要事业成效。</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80" w:lineRule="exact"/>
        <w:ind w:left="0" w:leftChars="0" w:firstLine="640" w:firstLineChars="200"/>
        <w:textAlignment w:val="auto"/>
        <w:outlineLvl w:val="9"/>
        <w:rPr>
          <w:rFonts w:hint="eastAsia" w:ascii="仿宋_GB2312" w:hAnsi="仿宋_GB2312" w:eastAsia="仿宋_GB2312" w:cs="仿宋_GB2312"/>
          <w:spacing w:val="-6"/>
          <w:kern w:val="2"/>
          <w:sz w:val="32"/>
          <w:szCs w:val="32"/>
          <w:u w:val="none"/>
          <w:lang w:val="en-US" w:eastAsia="zh-CN" w:bidi="ar-SA"/>
        </w:rPr>
      </w:pPr>
      <w:r>
        <w:rPr>
          <w:rFonts w:hint="eastAsia" w:ascii="仿宋_GB2312" w:hAnsi="仿宋_GB2312" w:eastAsia="仿宋_GB2312" w:cs="仿宋_GB2312"/>
          <w:kern w:val="2"/>
          <w:sz w:val="32"/>
          <w:szCs w:val="32"/>
          <w:u w:val="none"/>
          <w:lang w:val="en-US" w:eastAsia="zh-CN" w:bidi="ar-SA"/>
        </w:rPr>
        <w:t>2024年，在市委、市政府的坚强领导下，在省民宗委的指导支持下</w:t>
      </w:r>
      <w:r>
        <w:rPr>
          <w:rFonts w:hint="eastAsia" w:ascii="仿宋_GB2312" w:hAnsi="仿宋_GB2312" w:eastAsia="仿宋_GB2312" w:cs="仿宋_GB2312"/>
          <w:spacing w:val="-6"/>
          <w:kern w:val="2"/>
          <w:sz w:val="32"/>
          <w:szCs w:val="32"/>
          <w:u w:val="none"/>
          <w:lang w:val="en-US" w:eastAsia="zh-CN" w:bidi="ar-SA"/>
        </w:rPr>
        <w:t>，怀化市民族宗教事务局班子牢记使命担当、实干笃行善为，守正创新圆满完成了年度任务。</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80" w:lineRule="exact"/>
        <w:ind w:left="0" w:leftChars="0" w:firstLine="640" w:firstLineChars="200"/>
        <w:textAlignment w:val="auto"/>
        <w:outlineLvl w:val="9"/>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1、突出政治引领，坚定拥护“两个确立”，坚决做到“两个维护”</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80" w:lineRule="exact"/>
        <w:ind w:left="0" w:leftChars="0" w:firstLine="616" w:firstLineChars="200"/>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spacing w:val="-6"/>
          <w:kern w:val="2"/>
          <w:sz w:val="32"/>
          <w:szCs w:val="32"/>
          <w:u w:val="none"/>
          <w:lang w:val="en-US" w:eastAsia="zh-CN" w:bidi="ar-SA"/>
        </w:rPr>
        <w:t>党组班子坚持以习近平新时代中国特色社会主义思想为根本遵循，忠实履行职责、锐意改革创新，以实际行动深刻领悟“两个确立”的决定性意义，坚决做到“两个维护”。</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80" w:lineRule="exact"/>
        <w:ind w:left="0" w:leftChars="0" w:firstLine="640" w:firstLineChars="200"/>
        <w:textAlignment w:val="auto"/>
        <w:outlineLvl w:val="9"/>
        <w:rPr>
          <w:rFonts w:hint="eastAsia" w:ascii="仿宋_GB2312" w:hAnsi="仿宋_GB2312" w:eastAsia="仿宋_GB2312" w:cs="仿宋_GB2312"/>
          <w:kern w:val="2"/>
          <w:sz w:val="32"/>
          <w:szCs w:val="32"/>
          <w:u w:val="none"/>
          <w:lang w:val="en-US" w:eastAsia="zh-CN" w:bidi="ar-SA"/>
        </w:rPr>
      </w:pPr>
      <w:r>
        <w:rPr>
          <w:rFonts w:hint="eastAsia" w:ascii="仿宋_GB2312" w:hAnsi="仿宋_GB2312" w:eastAsia="仿宋_GB2312" w:cs="仿宋_GB2312"/>
          <w:b/>
          <w:bCs/>
          <w:sz w:val="32"/>
          <w:szCs w:val="32"/>
        </w:rPr>
        <w:t>一是</w:t>
      </w:r>
      <w:r>
        <w:rPr>
          <w:rFonts w:hint="eastAsia" w:ascii="仿宋_GB2312" w:hAnsi="仿宋_GB2312" w:eastAsia="仿宋_GB2312" w:cs="仿宋_GB2312"/>
          <w:b/>
          <w:bCs/>
          <w:sz w:val="32"/>
          <w:szCs w:val="32"/>
          <w:lang w:eastAsia="zh-CN"/>
        </w:rPr>
        <w:t>深入系统学习</w:t>
      </w:r>
      <w:r>
        <w:rPr>
          <w:rFonts w:hint="eastAsia" w:ascii="仿宋_GB2312" w:hAnsi="仿宋_GB2312" w:eastAsia="仿宋_GB2312" w:cs="仿宋_GB2312"/>
          <w:b/>
          <w:bCs/>
          <w:sz w:val="32"/>
          <w:szCs w:val="32"/>
        </w:rPr>
        <w:t>。</w:t>
      </w:r>
      <w:r>
        <w:rPr>
          <w:rFonts w:hint="eastAsia" w:ascii="仿宋_GB2312" w:hAnsi="仿宋_GB2312" w:eastAsia="仿宋_GB2312" w:cs="仿宋_GB2312"/>
          <w:kern w:val="2"/>
          <w:sz w:val="32"/>
          <w:szCs w:val="32"/>
          <w:u w:val="none"/>
          <w:lang w:val="en-US" w:eastAsia="zh-CN" w:bidi="ar-SA"/>
        </w:rPr>
        <w:t>全面落实“第一议题”制度，2024年召开党组理论学习中心组会议13次、党组会议15次，深入学习贯彻党的二十大和二十届二中、三中全会精神，第一时间传达学习习近平总书记系列重要讲话及指示批示精神。特别是深入学习贯彻习近平总书记关于加强和改进民族工作的重要思想、习近平总书记在全国民族团结进步表彰大会上的重要讲话精神及习近平总书记关于宗教工作的重要论述，将其纳入全体干部职工必学内容，纳入基层民宗干部培训内容，纳入宗教活动场所“五进五好”活动内容</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lang w:eastAsia="zh-CN"/>
        </w:rPr>
        <w:t>二是强化宣传引导。</w:t>
      </w:r>
      <w:r>
        <w:rPr>
          <w:rFonts w:hint="eastAsia" w:ascii="仿宋_GB2312" w:hAnsi="仿宋_GB2312" w:eastAsia="仿宋_GB2312" w:cs="仿宋_GB2312"/>
          <w:sz w:val="32"/>
          <w:szCs w:val="32"/>
          <w:lang w:eastAsia="zh-CN"/>
        </w:rPr>
        <w:t>党组班子成员及中层干部，深入各县市区相关部门、乡镇（街道）、企业、学校、宗教活动场所等地，开展党的二十届三中全会精神宣讲，以通俗易懂、深入浅出的语言，讲解铸牢中华民族共同体意识、坚持宗教中国化方向的重要意义、深刻内涵、基本任务，推动全会精神走深走实。为荣获全国民族团结进步表彰的2</w:t>
      </w:r>
      <w:r>
        <w:rPr>
          <w:rFonts w:hint="eastAsia" w:ascii="仿宋_GB2312" w:hAnsi="仿宋_GB2312" w:eastAsia="仿宋_GB2312" w:cs="仿宋_GB2312"/>
          <w:sz w:val="32"/>
          <w:szCs w:val="32"/>
          <w:lang w:val="en-US" w:eastAsia="zh-CN"/>
        </w:rPr>
        <w:t>个模范</w:t>
      </w:r>
      <w:r>
        <w:rPr>
          <w:rFonts w:hint="eastAsia" w:ascii="仿宋_GB2312" w:hAnsi="仿宋_GB2312" w:eastAsia="仿宋_GB2312" w:cs="仿宋_GB2312"/>
          <w:sz w:val="32"/>
          <w:szCs w:val="32"/>
          <w:lang w:eastAsia="zh-CN"/>
        </w:rPr>
        <w:t>个人和1个模范集体，制作《榜样背后的故事》系列栏目报道，以榜样的力量教育引导各族干部群众争做铸牢中华民族共同体意识、推动民族团结进步的忠诚实践者和坚定维护者。</w:t>
      </w:r>
      <w:r>
        <w:rPr>
          <w:rFonts w:hint="eastAsia" w:ascii="仿宋_GB2312" w:hAnsi="仿宋_GB2312" w:eastAsia="仿宋_GB2312" w:cs="仿宋_GB2312"/>
          <w:b/>
          <w:bCs/>
          <w:sz w:val="32"/>
          <w:szCs w:val="32"/>
          <w:lang w:eastAsia="zh-CN"/>
        </w:rPr>
        <w:t>三是狠抓落实落地。</w:t>
      </w:r>
      <w:r>
        <w:rPr>
          <w:rFonts w:hint="eastAsia" w:ascii="仿宋_GB2312" w:hAnsi="仿宋_GB2312" w:eastAsia="仿宋_GB2312" w:cs="仿宋_GB2312"/>
          <w:sz w:val="32"/>
          <w:szCs w:val="32"/>
          <w:lang w:val="en-US" w:eastAsia="zh-CN"/>
        </w:rPr>
        <w:t>认真落实</w:t>
      </w:r>
      <w:r>
        <w:rPr>
          <w:rFonts w:hint="eastAsia" w:ascii="仿宋_GB2312" w:hAnsi="仿宋_GB2312" w:eastAsia="仿宋_GB2312" w:cs="仿宋_GB2312"/>
          <w:sz w:val="32"/>
          <w:szCs w:val="32"/>
          <w:lang w:eastAsia="zh-CN"/>
        </w:rPr>
        <w:t>铸牢中华民族共同体意识“两个纳入”和宗教工作“四个纳入”相关工作走在全省前列</w:t>
      </w:r>
      <w:r>
        <w:rPr>
          <w:rFonts w:hint="eastAsia" w:ascii="仿宋_GB2312" w:hAnsi="仿宋_GB2312" w:eastAsia="仿宋_GB2312" w:cs="仿宋_GB2312"/>
          <w:sz w:val="32"/>
          <w:szCs w:val="32"/>
          <w:lang w:val="en-US" w:eastAsia="zh-CN"/>
        </w:rPr>
        <w:t>，今年我市将</w:t>
      </w:r>
      <w:r>
        <w:rPr>
          <w:rFonts w:hint="eastAsia" w:ascii="仿宋_GB2312" w:hAnsi="仿宋_GB2312" w:eastAsia="仿宋_GB2312" w:cs="仿宋_GB2312"/>
          <w:sz w:val="32"/>
          <w:szCs w:val="32"/>
          <w:lang w:eastAsia="zh-CN"/>
        </w:rPr>
        <w:t>民族宗教工作专项检查纳入市委巡察重要内容，我局派出</w:t>
      </w:r>
      <w:r>
        <w:rPr>
          <w:rFonts w:hint="eastAsia" w:ascii="仿宋_GB2312" w:hAnsi="仿宋_GB2312" w:eastAsia="仿宋_GB2312" w:cs="仿宋_GB2312"/>
          <w:sz w:val="32"/>
          <w:szCs w:val="32"/>
          <w:lang w:val="en-US" w:eastAsia="zh-CN"/>
        </w:rPr>
        <w:t>3人参与市委巡察办对市直各单位的常规巡察，有力地推动相关民宗工作落地生效，形成强大的社会合力。</w:t>
      </w:r>
      <w:r>
        <w:rPr>
          <w:rFonts w:hint="eastAsia" w:ascii="仿宋_GB2312" w:hAnsi="仿宋_GB2312" w:eastAsia="仿宋_GB2312" w:cs="仿宋_GB2312"/>
          <w:b/>
          <w:bCs/>
          <w:sz w:val="32"/>
          <w:szCs w:val="32"/>
          <w:lang w:eastAsia="zh-CN"/>
        </w:rPr>
        <w:t>四</w:t>
      </w:r>
      <w:r>
        <w:rPr>
          <w:rFonts w:hint="eastAsia" w:ascii="仿宋_GB2312" w:hAnsi="仿宋_GB2312" w:eastAsia="仿宋_GB2312" w:cs="仿宋_GB2312"/>
          <w:b/>
          <w:bCs/>
          <w:sz w:val="32"/>
          <w:szCs w:val="32"/>
        </w:rPr>
        <w:t>是严明政治规矩。</w:t>
      </w:r>
      <w:r>
        <w:rPr>
          <w:rFonts w:hint="eastAsia" w:ascii="仿宋_GB2312" w:hAnsi="仿宋_GB2312" w:eastAsia="仿宋_GB2312" w:cs="仿宋_GB2312"/>
          <w:sz w:val="32"/>
          <w:szCs w:val="32"/>
          <w:lang w:eastAsia="zh-CN"/>
        </w:rPr>
        <w:t>深入</w:t>
      </w:r>
      <w:r>
        <w:rPr>
          <w:rFonts w:hint="eastAsia" w:ascii="仿宋_GB2312" w:hAnsi="仿宋_GB2312" w:eastAsia="仿宋_GB2312" w:cs="仿宋_GB2312"/>
          <w:sz w:val="32"/>
          <w:szCs w:val="32"/>
        </w:rPr>
        <w:t>落实《中国共产党党内监督条例》和新修订的纪律处分条例等有关规定，严格</w:t>
      </w:r>
      <w:r>
        <w:rPr>
          <w:rFonts w:hint="eastAsia" w:ascii="仿宋_GB2312" w:hAnsi="仿宋_GB2312" w:eastAsia="仿宋_GB2312" w:cs="仿宋_GB2312"/>
          <w:sz w:val="32"/>
          <w:szCs w:val="32"/>
          <w:lang w:eastAsia="zh-CN"/>
        </w:rPr>
        <w:t>落实</w:t>
      </w:r>
      <w:r>
        <w:rPr>
          <w:rFonts w:hint="eastAsia" w:ascii="仿宋_GB2312" w:hAnsi="仿宋_GB2312" w:eastAsia="仿宋_GB2312" w:cs="仿宋_GB2312"/>
          <w:sz w:val="32"/>
          <w:szCs w:val="32"/>
        </w:rPr>
        <w:t>重大事项请示报告制</w:t>
      </w:r>
      <w:r>
        <w:rPr>
          <w:rFonts w:hint="eastAsia" w:ascii="仿宋_GB2312" w:hAnsi="仿宋_GB2312" w:eastAsia="仿宋_GB2312" w:cs="仿宋_GB2312"/>
          <w:color w:val="auto"/>
          <w:sz w:val="32"/>
          <w:szCs w:val="32"/>
        </w:rPr>
        <w:t>度，全年向市委、市政府请示报告重大事项</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项</w:t>
      </w:r>
      <w:r>
        <w:rPr>
          <w:rFonts w:hint="eastAsia" w:ascii="仿宋_GB2312" w:hAnsi="仿宋_GB2312" w:eastAsia="仿宋_GB2312" w:cs="仿宋_GB2312"/>
          <w:sz w:val="32"/>
          <w:szCs w:val="32"/>
        </w:rPr>
        <w:t>。</w:t>
      </w:r>
      <w:r>
        <w:rPr>
          <w:rFonts w:hint="eastAsia" w:ascii="仿宋_GB2312" w:hAnsi="仿宋_GB2312" w:eastAsia="仿宋_GB2312" w:cs="仿宋_GB2312"/>
          <w:kern w:val="2"/>
          <w:sz w:val="32"/>
          <w:szCs w:val="32"/>
          <w:u w:val="none"/>
          <w:lang w:val="en-US" w:eastAsia="zh-CN" w:bidi="ar-SA"/>
        </w:rPr>
        <w:t>全面落实民主集中制，完善党组议事制度和民主决策机制，对“三重一大”事项坚持集体讨论决定，重大事项坚持向市纪委驻统战部纪监组报告，备案率达100%，做到项目安排、干部选任、资金使用等工作科学决策、民主决策、依法决策，营造起风清气正的良好政治生态。</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80" w:lineRule="exact"/>
        <w:ind w:left="0" w:leftChars="0" w:firstLine="640" w:firstLineChars="200"/>
        <w:textAlignment w:val="auto"/>
        <w:outlineLvl w:val="9"/>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2、聚焦铸牢主线，民族团结进步工作走在全省前列</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80" w:lineRule="exact"/>
        <w:ind w:firstLine="64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在今年1月我市正式获国家民委命名为全国民族团结进步示范区的基础上，我局坚持以铸牢中华民族共同体意识为民族工作主线，抓手有形、受众有感、教育有效，民族团结进步工作亮点纷呈、特色鲜明，走在全省前列。</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80" w:lineRule="exact"/>
        <w:ind w:firstLine="640"/>
        <w:textAlignment w:val="auto"/>
        <w:outlineLvl w:val="9"/>
        <w:rPr>
          <w:rFonts w:hint="eastAsia" w:ascii="仿宋_GB2312" w:hAnsi="仿宋_GB2312" w:eastAsia="仿宋_GB2312" w:cs="仿宋_GB2312"/>
          <w:sz w:val="32"/>
          <w:szCs w:val="32"/>
          <w:lang w:val="en-US"/>
        </w:rPr>
      </w:pPr>
      <w:r>
        <w:rPr>
          <w:rFonts w:hint="eastAsia" w:ascii="楷体_GB2312" w:hAnsi="楷体_GB2312" w:eastAsia="楷体_GB2312" w:cs="楷体_GB2312"/>
          <w:b w:val="0"/>
          <w:bCs w:val="0"/>
          <w:kern w:val="2"/>
          <w:sz w:val="32"/>
          <w:szCs w:val="32"/>
          <w:lang w:val="en-US" w:eastAsia="zh-CN" w:bidi="ar-SA"/>
        </w:rPr>
        <w:t>（1）民族团结进步经验做法获国家民委推介。</w:t>
      </w:r>
      <w:r>
        <w:rPr>
          <w:rFonts w:hint="eastAsia" w:ascii="仿宋_GB2312" w:hAnsi="仿宋_GB2312" w:eastAsia="仿宋_GB2312" w:cs="仿宋_GB2312"/>
          <w:sz w:val="32"/>
          <w:szCs w:val="32"/>
          <w:lang w:val="en-US" w:eastAsia="zh-CN"/>
        </w:rPr>
        <w:t>怀化发扬“种子精神”，实现“富口袋”“富脑袋”，经验做法入选国家民委编写的正确民族观实践典型案例。9月27日召开的全国民族团结进步表彰大会，我市有1个模范集体、2个模范个人获此殊荣。同时，会同市委老干部局、怀化师专等单位，联合举办“福地怀化石榴红 携手共绘同心圆”迎新年民族团结文艺演出，从银丝长者到青葱少年，从城市社区到乡村田野，从机关单位到大中小学，各族群众同呼吸、共命运、心连心，像石榴籽一样紧紧抱在一起。</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val="0"/>
          <w:bCs w:val="0"/>
          <w:kern w:val="2"/>
          <w:sz w:val="32"/>
          <w:szCs w:val="32"/>
          <w:lang w:val="en-US" w:eastAsia="zh-CN" w:bidi="ar-SA"/>
        </w:rPr>
        <w:t>（2）民族地区高质量发展彰显新作为。</w:t>
      </w:r>
      <w:r>
        <w:rPr>
          <w:rFonts w:hint="eastAsia" w:ascii="仿宋_GB2312" w:hAnsi="仿宋_GB2312" w:eastAsia="仿宋_GB2312" w:cs="仿宋_GB2312"/>
          <w:b/>
          <w:bCs/>
          <w:sz w:val="32"/>
          <w:szCs w:val="32"/>
          <w:lang w:val="en-US" w:eastAsia="zh-CN"/>
        </w:rPr>
        <w:t>一是精心组织指导做好通道“逢十”周年庆典工作。</w:t>
      </w:r>
      <w:r>
        <w:rPr>
          <w:rFonts w:hint="eastAsia" w:ascii="仿宋_GB2312" w:hAnsi="仿宋_GB2312" w:eastAsia="仿宋_GB2312" w:cs="仿宋_GB2312"/>
          <w:sz w:val="32"/>
          <w:szCs w:val="32"/>
          <w:lang w:val="en-US" w:eastAsia="zh-CN"/>
        </w:rPr>
        <w:t>2024年通道70周年县庆是全省民族自治地方新一轮“逢十”周年庆典的第一个县，我局主要领导带队多次赴省汇报和赴现场精心指导，在争取省级投入上取得新突破，获省级支持项目资金2亿多元，比上一轮增长100%。在活动指导上，从把准时代脉搏、聚焦铸牢主线、紧扣县庆主题、策划宣传活动等方面着力，生动彰显通道各民族团结融合、感恩奋进的时代新貌，获得国家民委、全国人大民委、省民宗委和社会各界广泛好评，为全省民族自治地方新一轮“逢十”周年庆典活动做出了示范、树立了标杆。</w:t>
      </w:r>
      <w:r>
        <w:rPr>
          <w:rFonts w:hint="eastAsia" w:ascii="仿宋_GB2312" w:hAnsi="仿宋_GB2312" w:eastAsia="仿宋_GB2312" w:cs="仿宋_GB2312"/>
          <w:b/>
          <w:bCs/>
          <w:sz w:val="32"/>
          <w:szCs w:val="32"/>
          <w:lang w:val="en-US" w:eastAsia="zh-CN"/>
        </w:rPr>
        <w:t>二是积极争取中央、省政策资金。</w:t>
      </w:r>
      <w:r>
        <w:rPr>
          <w:rFonts w:hint="eastAsia" w:ascii="仿宋_GB2312" w:hAnsi="仿宋_GB2312" w:eastAsia="仿宋_GB2312" w:cs="仿宋_GB2312"/>
          <w:sz w:val="32"/>
          <w:szCs w:val="32"/>
          <w:lang w:val="en-US" w:eastAsia="zh-CN"/>
        </w:rPr>
        <w:t>争取2024年中央、省级财政衔接推进乡村振兴补助资金（少数民族发展任务资金）4783万元，落实中央财政贴息引导资金940.38万元。推荐通道平坦乡皇都村、麻阳楠木桥乡楠木坪村、辰溪仙人湾瑶族乡清水塘村等3个村寨为第一批和美村寨，推荐通道侗族自治县为国家民委第二批共同现代化试点地区。</w:t>
      </w:r>
      <w:r>
        <w:rPr>
          <w:rFonts w:hint="eastAsia" w:ascii="仿宋_GB2312" w:hAnsi="仿宋_GB2312" w:eastAsia="仿宋_GB2312" w:cs="仿宋_GB2312"/>
          <w:b/>
          <w:bCs/>
          <w:sz w:val="32"/>
          <w:szCs w:val="32"/>
          <w:lang w:val="en-US" w:eastAsia="zh-CN"/>
        </w:rPr>
        <w:t>三是落实落细高考加分政策。</w:t>
      </w:r>
      <w:r>
        <w:rPr>
          <w:rFonts w:hint="eastAsia" w:ascii="仿宋_GB2312" w:hAnsi="仿宋_GB2312" w:eastAsia="仿宋_GB2312" w:cs="仿宋_GB2312"/>
          <w:sz w:val="32"/>
          <w:szCs w:val="32"/>
          <w:lang w:val="en-US" w:eastAsia="zh-CN"/>
        </w:rPr>
        <w:t>为全市</w:t>
      </w:r>
      <w:r>
        <w:rPr>
          <w:rFonts w:hint="eastAsia" w:ascii="仿宋_GB2312" w:hAnsi="仿宋_GB2312" w:eastAsia="仿宋_GB2312" w:cs="仿宋_GB2312"/>
          <w:b w:val="0"/>
          <w:bCs w:val="0"/>
          <w:sz w:val="32"/>
          <w:szCs w:val="32"/>
          <w:lang w:eastAsia="zh-CN"/>
        </w:rPr>
        <w:t>1</w:t>
      </w:r>
      <w:r>
        <w:rPr>
          <w:rFonts w:hint="eastAsia" w:ascii="仿宋_GB2312" w:hAnsi="仿宋_GB2312" w:eastAsia="仿宋_GB2312" w:cs="仿宋_GB2312"/>
          <w:b w:val="0"/>
          <w:bCs w:val="0"/>
          <w:sz w:val="32"/>
          <w:szCs w:val="32"/>
          <w:lang w:val="en-US" w:eastAsia="zh-CN"/>
        </w:rPr>
        <w:t>5799</w:t>
      </w:r>
      <w:r>
        <w:rPr>
          <w:rFonts w:hint="eastAsia" w:ascii="仿宋_GB2312" w:hAnsi="仿宋_GB2312" w:eastAsia="仿宋_GB2312" w:cs="仿宋_GB2312"/>
          <w:sz w:val="32"/>
          <w:szCs w:val="32"/>
          <w:lang w:val="en-US" w:eastAsia="zh-CN"/>
        </w:rPr>
        <w:t>名各民族考生落实高考优惠加分，全市无一人漏审、错审、投诉。</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outlineLvl w:val="9"/>
        <w:rPr>
          <w:rFonts w:hint="eastAsia" w:ascii="仿宋_GB2312" w:hAnsi="仿宋_GB2312" w:eastAsia="仿宋_GB2312" w:cs="仿宋_GB2312"/>
          <w:b/>
          <w:bCs/>
          <w:kern w:val="2"/>
          <w:sz w:val="32"/>
          <w:szCs w:val="32"/>
          <w:lang w:val="en-US" w:eastAsia="zh-CN" w:bidi="ar-SA"/>
        </w:rPr>
      </w:pPr>
      <w:r>
        <w:rPr>
          <w:rFonts w:hint="eastAsia" w:ascii="楷体_GB2312" w:hAnsi="楷体_GB2312" w:eastAsia="楷体_GB2312" w:cs="楷体_GB2312"/>
          <w:b w:val="0"/>
          <w:bCs w:val="0"/>
          <w:kern w:val="2"/>
          <w:sz w:val="32"/>
          <w:szCs w:val="32"/>
          <w:lang w:val="en-US" w:eastAsia="zh-CN" w:bidi="ar-SA"/>
        </w:rPr>
        <w:t>（3）民族团结“三交”工作取得新成效。</w:t>
      </w:r>
      <w:r>
        <w:rPr>
          <w:rFonts w:hint="eastAsia" w:ascii="仿宋_GB2312" w:hAnsi="仿宋_GB2312" w:eastAsia="仿宋_GB2312" w:cs="仿宋_GB2312"/>
          <w:b/>
          <w:bCs/>
          <w:sz w:val="32"/>
          <w:szCs w:val="32"/>
          <w:lang w:val="en-US" w:eastAsia="zh-CN"/>
        </w:rPr>
        <w:t>一是互嵌共融加强城市民族工作。</w:t>
      </w:r>
      <w:r>
        <w:rPr>
          <w:rFonts w:hint="eastAsia" w:ascii="仿宋_GB2312" w:hAnsi="仿宋_GB2312" w:eastAsia="仿宋_GB2312" w:cs="仿宋_GB2312"/>
          <w:sz w:val="32"/>
          <w:szCs w:val="32"/>
          <w:lang w:val="en-US" w:eastAsia="zh-CN"/>
        </w:rPr>
        <w:t>全面规范建设城市民族工作服务站，聚焦便民服务、信息管理、纠纷调解等三大核心职能，为20万余名来怀各族群众提供服务、解决难题，推动外来各族群众安居乐业。同时，会同新疆驻湘工作组、市委统战部、市教育局等六部门，共同举办怀化市少数民族流动人口国家通用语言文字培训班，开展相关政策法规宣讲，各族群众幸福感、获得感不断提升。</w:t>
      </w:r>
      <w:r>
        <w:rPr>
          <w:rFonts w:hint="eastAsia" w:ascii="仿宋_GB2312" w:hAnsi="仿宋_GB2312" w:eastAsia="仿宋_GB2312" w:cs="仿宋_GB2312"/>
          <w:b/>
          <w:bCs/>
          <w:sz w:val="32"/>
          <w:szCs w:val="32"/>
          <w:lang w:val="en-US" w:eastAsia="zh-CN"/>
        </w:rPr>
        <w:t>二是缜密备训全国少数民族传统体育运动会再创佳绩。</w:t>
      </w:r>
      <w:r>
        <w:rPr>
          <w:rFonts w:hint="eastAsia" w:ascii="仿宋_GB2312" w:hAnsi="仿宋_GB2312" w:eastAsia="仿宋_GB2312" w:cs="仿宋_GB2312"/>
          <w:sz w:val="32"/>
          <w:szCs w:val="32"/>
          <w:lang w:val="en-US" w:eastAsia="zh-CN"/>
        </w:rPr>
        <w:t>我市派出135名运动员参加</w:t>
      </w:r>
      <w:r>
        <w:rPr>
          <w:rFonts w:hint="eastAsia" w:ascii="仿宋_GB2312" w:hAnsi="仿宋_GB2312" w:eastAsia="仿宋_GB2312" w:cs="仿宋_GB2312"/>
          <w:sz w:val="32"/>
          <w:szCs w:val="32"/>
        </w:rPr>
        <w:t>第十二届全国少数民族传统体育运动会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角逐4个竞赛项目和3个表演项目，并参与开幕式湖南省代表团驻停表演，共斩获2个一等奖、10个二等奖、14个三等奖，在2024年怀化市政府工作报告中予以肯定，充分展现怀化民族团结进步事业发展新成果和各民族交往交流交融的新风貌。</w:t>
      </w:r>
      <w:r>
        <w:rPr>
          <w:rFonts w:hint="eastAsia" w:ascii="仿宋_GB2312" w:hAnsi="仿宋_GB2312" w:eastAsia="仿宋_GB2312" w:cs="仿宋_GB2312"/>
          <w:b/>
          <w:bCs/>
          <w:sz w:val="32"/>
          <w:szCs w:val="32"/>
          <w:lang w:val="en-US" w:eastAsia="zh-CN"/>
        </w:rPr>
        <w:t>三是守正创新实施“三项计划”。</w:t>
      </w:r>
      <w:r>
        <w:rPr>
          <w:rFonts w:hint="eastAsia" w:ascii="仿宋_GB2312" w:hAnsi="仿宋_GB2312" w:eastAsia="仿宋_GB2312" w:cs="仿宋_GB2312"/>
          <w:b w:val="0"/>
          <w:kern w:val="2"/>
          <w:sz w:val="32"/>
          <w:szCs w:val="32"/>
          <w:lang w:val="en-US" w:eastAsia="zh-CN" w:bidi="ar-SA"/>
        </w:rPr>
        <w:t>7月22日，举行“三湘石榴红 同心促发展”行动之“红色通道行”系列活动，成为推动全省民族工作高质量发展的崭新探索。9月，开展“铸牢共同体 中华一家亲”怀化市民族团结进步宣传月活动，通过创新宣教形式、丰富宣教载体、拓宽宣教渠道，着力构筑中华民族共有精神家园。其中，9月1日至6日，实施以“湘新两地情 怀伊一家亲”主题的2024年“春雨工程”，推动湖南新疆两地互学互鉴，巩固民族团结基石，增强各族群众获得感、幸福感。28日，开展“跨越千山万水、促进中西部交流协作——走进西藏隆子县结对帮扶”，向对口帮扶隆子县支持8万元，并为西藏隆子县160名儿童捐赠书包、文体用品等，促进湖南西藏两地文化交流，厚植民族团结情谊。</w:t>
      </w:r>
    </w:p>
    <w:p>
      <w:pPr>
        <w:pStyle w:val="9"/>
        <w:keepNext w:val="0"/>
        <w:keepLines w:val="0"/>
        <w:pageBreakBefore w:val="0"/>
        <w:widowControl w:val="0"/>
        <w:kinsoku/>
        <w:wordWrap/>
        <w:overflowPunct/>
        <w:topLinePunct w:val="0"/>
        <w:autoSpaceDE/>
        <w:autoSpaceDN/>
        <w:bidi w:val="0"/>
        <w:adjustRightInd/>
        <w:snapToGrid/>
        <w:spacing w:after="0" w:afterLines="0" w:line="580" w:lineRule="exact"/>
        <w:ind w:left="0" w:leftChars="0" w:firstLine="640" w:firstLineChars="0"/>
        <w:textAlignment w:val="auto"/>
        <w:outlineLvl w:val="9"/>
        <w:rPr>
          <w:rFonts w:hint="eastAsia" w:ascii="仿宋_GB2312" w:hAnsi="仿宋_GB2312" w:eastAsia="仿宋_GB2312" w:cs="仿宋_GB2312"/>
          <w:b w:val="0"/>
          <w:kern w:val="2"/>
          <w:sz w:val="32"/>
          <w:szCs w:val="32"/>
          <w:lang w:val="en-US" w:eastAsia="zh-CN" w:bidi="ar-SA"/>
        </w:rPr>
      </w:pPr>
      <w:r>
        <w:rPr>
          <w:rFonts w:hint="eastAsia" w:ascii="楷体_GB2312" w:hAnsi="楷体_GB2312" w:eastAsia="楷体_GB2312" w:cs="楷体_GB2312"/>
          <w:b w:val="0"/>
          <w:bCs w:val="0"/>
          <w:kern w:val="2"/>
          <w:sz w:val="32"/>
          <w:szCs w:val="32"/>
          <w:lang w:val="en-US" w:eastAsia="zh-CN" w:bidi="ar-SA"/>
        </w:rPr>
        <w:t>（4）打造民族团结进步创建升级版展现新特色。</w:t>
      </w:r>
      <w:r>
        <w:rPr>
          <w:rFonts w:hint="eastAsia" w:ascii="仿宋_GB2312" w:hAnsi="仿宋_GB2312" w:eastAsia="仿宋_GB2312" w:cs="仿宋_GB2312"/>
          <w:b/>
          <w:bCs/>
          <w:sz w:val="32"/>
          <w:szCs w:val="32"/>
          <w:lang w:val="en-US" w:eastAsia="zh-CN"/>
        </w:rPr>
        <w:t>一是深入打造湘桂黔环“三省坡”区域铸牢中华民族共同体意识示范带。</w:t>
      </w:r>
      <w:r>
        <w:rPr>
          <w:rFonts w:hint="eastAsia" w:ascii="仿宋_GB2312" w:hAnsi="仿宋_GB2312" w:eastAsia="仿宋_GB2312" w:cs="仿宋_GB2312"/>
          <w:b w:val="0"/>
          <w:kern w:val="2"/>
          <w:sz w:val="32"/>
          <w:szCs w:val="32"/>
          <w:lang w:val="en-US" w:eastAsia="zh-CN" w:bidi="ar-SA"/>
        </w:rPr>
        <w:t>7月11日，湖南怀化、广西柳州、贵州黔东南三市（州）委统战部门和三市（州）民宗部门在通道共同签署《成立湘桂黔环“三省坡”区域铸牢中华民族共同体意识示范带联创工作机制》文件。同时，邀请国家民委铸牢中华民族共同体意识宣讲团成员、广西民族大学党委书记卞成林教授做专题宣讲。三市（州）明确了共建铸牢中华民族共同体意识研究宣教大格局、共筑中华民族共有精神家园、共推各民族共同走向中国式现代化等七个方面的目标任务，深入实施“六个一工程”，构建起环“三省坡”社会治理“六联六共”工作格局，奋力将其打造成为省际毗邻交界地区铸牢中华民族共同体意识示范带的样板工程，已列入市委六届九次全会《市委常委会工作报告》。</w:t>
      </w:r>
      <w:r>
        <w:rPr>
          <w:rFonts w:hint="eastAsia" w:ascii="仿宋_GB2312" w:hAnsi="仿宋_GB2312" w:eastAsia="仿宋_GB2312" w:cs="仿宋_GB2312"/>
          <w:b/>
          <w:bCs/>
          <w:sz w:val="32"/>
          <w:szCs w:val="32"/>
          <w:lang w:val="en-US" w:eastAsia="zh-CN"/>
        </w:rPr>
        <w:t>二是扎实开展湘黔边界铸牢中华民族共同体意识示范区联创活动。</w:t>
      </w:r>
      <w:r>
        <w:rPr>
          <w:rFonts w:hint="eastAsia" w:ascii="仿宋_GB2312" w:hAnsi="仿宋_GB2312" w:eastAsia="仿宋_GB2312" w:cs="仿宋_GB2312"/>
          <w:b w:val="0"/>
          <w:kern w:val="2"/>
          <w:sz w:val="32"/>
          <w:szCs w:val="32"/>
          <w:lang w:val="en-US" w:eastAsia="zh-CN" w:bidi="ar-SA"/>
        </w:rPr>
        <w:t>指导新晃携手湘黔边界各县区，积极推进“理论联研”“政务联办”等七大行动。10月20日，在新晃举办湘黔边界铸牢中华民族共同体意识示范区联创活动，让“四个与共”的共同体理念浸润湘黔各族群众心田；湘黔边界7县（区）1665项政务服务基本实现同步办理，让200多万各族群众受益；创新边界基层治理模式，建立23个省际边界联合党支部，构建起区域共治、平安共建、发展共享的社会治理新格局，形成了“同商同议、同心同向、同步同行”的创建经验，促进各族群众广泛交往交流交融，创新打造省际边界民族团结进步创建工作“升级版”。</w:t>
      </w:r>
    </w:p>
    <w:p>
      <w:pPr>
        <w:pStyle w:val="9"/>
        <w:keepNext w:val="0"/>
        <w:keepLines w:val="0"/>
        <w:pageBreakBefore w:val="0"/>
        <w:widowControl w:val="0"/>
        <w:kinsoku/>
        <w:wordWrap/>
        <w:overflowPunct/>
        <w:topLinePunct w:val="0"/>
        <w:autoSpaceDE/>
        <w:autoSpaceDN/>
        <w:bidi w:val="0"/>
        <w:adjustRightInd/>
        <w:snapToGrid/>
        <w:spacing w:after="0" w:afterLines="0" w:line="580" w:lineRule="exact"/>
        <w:ind w:left="0" w:leftChars="0" w:firstLine="640" w:firstLineChars="0"/>
        <w:textAlignment w:val="auto"/>
        <w:outlineLvl w:val="9"/>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val="en-US" w:eastAsia="zh-CN"/>
        </w:rPr>
        <w:t>3</w:t>
      </w:r>
      <w:r>
        <w:rPr>
          <w:rFonts w:hint="eastAsia" w:ascii="黑体" w:hAnsi="黑体" w:eastAsia="黑体" w:cs="黑体"/>
          <w:b w:val="0"/>
          <w:bCs w:val="0"/>
          <w:sz w:val="32"/>
          <w:szCs w:val="32"/>
          <w:lang w:eastAsia="zh-CN"/>
        </w:rPr>
        <w:t>、把牢正确方向</w:t>
      </w:r>
      <w:r>
        <w:rPr>
          <w:rFonts w:hint="eastAsia" w:ascii="黑体" w:hAnsi="黑体" w:eastAsia="黑体" w:cs="黑体"/>
          <w:b w:val="0"/>
          <w:bCs w:val="0"/>
          <w:sz w:val="32"/>
          <w:szCs w:val="32"/>
        </w:rPr>
        <w:t>，</w:t>
      </w:r>
      <w:r>
        <w:rPr>
          <w:rFonts w:hint="eastAsia" w:ascii="黑体" w:hAnsi="黑体" w:eastAsia="黑体" w:cs="黑体"/>
          <w:b w:val="0"/>
          <w:bCs w:val="0"/>
          <w:sz w:val="32"/>
          <w:szCs w:val="32"/>
          <w:lang w:eastAsia="zh-CN"/>
        </w:rPr>
        <w:t>做实</w:t>
      </w:r>
      <w:r>
        <w:rPr>
          <w:rFonts w:hint="eastAsia" w:ascii="黑体" w:hAnsi="黑体" w:eastAsia="黑体" w:cs="黑体"/>
          <w:b w:val="0"/>
          <w:bCs w:val="0"/>
          <w:sz w:val="32"/>
          <w:szCs w:val="32"/>
          <w:lang w:val="en-US" w:eastAsia="zh-CN"/>
        </w:rPr>
        <w:t>宗教中国化湖南实践的怀化样本</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80" w:lineRule="exact"/>
        <w:ind w:firstLine="640"/>
        <w:textAlignment w:val="auto"/>
        <w:outlineLvl w:val="9"/>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牢记习近平总书记关于宗教工作的重要论述，坚持宗教中国化方向，确保全市宗教领域和谐稳定。</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80" w:lineRule="exact"/>
        <w:ind w:firstLine="640"/>
        <w:textAlignment w:val="auto"/>
        <w:outlineLvl w:val="9"/>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val="0"/>
          <w:bCs w:val="0"/>
          <w:kern w:val="2"/>
          <w:sz w:val="32"/>
          <w:szCs w:val="32"/>
          <w:lang w:val="en-US" w:eastAsia="zh-CN" w:bidi="ar-SA"/>
        </w:rPr>
        <w:t>（1）做实监管机制。</w:t>
      </w:r>
      <w:r>
        <w:rPr>
          <w:rFonts w:hint="eastAsia" w:ascii="仿宋_GB2312" w:hAnsi="仿宋_GB2312" w:eastAsia="仿宋_GB2312" w:cs="仿宋_GB2312"/>
          <w:b w:val="0"/>
          <w:kern w:val="2"/>
          <w:sz w:val="32"/>
          <w:szCs w:val="32"/>
          <w:lang w:val="en-US" w:eastAsia="zh-CN" w:bidi="ar-SA"/>
        </w:rPr>
        <w:t>压紧压实宗教工作三级网络两级责任制，扎实推进强链延链工作</w:t>
      </w:r>
      <w:r>
        <w:rPr>
          <w:rFonts w:hint="eastAsia" w:ascii="仿宋_GB2312" w:hAnsi="仿宋_GB2312" w:eastAsia="仿宋_GB2312" w:cs="仿宋_GB2312"/>
          <w:sz w:val="32"/>
          <w:szCs w:val="32"/>
          <w:lang w:val="en-US" w:eastAsia="zh-CN"/>
        </w:rPr>
        <w:t>，强化工作经费保障</w:t>
      </w:r>
      <w:r>
        <w:rPr>
          <w:rFonts w:hint="eastAsia" w:ascii="仿宋_GB2312" w:hAnsi="仿宋_GB2312" w:eastAsia="仿宋_GB2312" w:cs="仿宋_GB2312"/>
          <w:b w:val="0"/>
          <w:kern w:val="2"/>
          <w:sz w:val="32"/>
          <w:szCs w:val="32"/>
          <w:lang w:val="en-US" w:eastAsia="zh-CN" w:bidi="ar-SA"/>
        </w:rPr>
        <w:t>，做到横向到边、纵向到底、管理到位。推动构建“三级网络+”的宗教监管工作模式，做到县为主体、乡村（社区）尽责、落实到组（楼栋）。动态更新宗教工作7大台账，实现对涉宗教苗头性信息情况清、底数明，切实抓早抓小、源头化解。</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80" w:lineRule="exact"/>
        <w:ind w:firstLine="640" w:firstLineChars="200"/>
        <w:textAlignment w:val="auto"/>
        <w:outlineLvl w:val="9"/>
        <w:rPr>
          <w:rFonts w:hint="eastAsia" w:ascii="仿宋_GB2312" w:hAnsi="仿宋_GB2312" w:eastAsia="仿宋_GB2312" w:cs="仿宋_GB2312"/>
          <w:b w:val="0"/>
          <w:bCs w:val="0"/>
          <w:kern w:val="2"/>
          <w:sz w:val="32"/>
          <w:szCs w:val="32"/>
          <w:lang w:val="en-US" w:eastAsia="zh-CN" w:bidi="ar-SA"/>
        </w:rPr>
      </w:pPr>
      <w:r>
        <w:rPr>
          <w:rFonts w:hint="eastAsia" w:ascii="楷体_GB2312" w:hAnsi="楷体_GB2312" w:eastAsia="楷体_GB2312" w:cs="楷体_GB2312"/>
          <w:b w:val="0"/>
          <w:bCs w:val="0"/>
          <w:kern w:val="2"/>
          <w:sz w:val="32"/>
          <w:szCs w:val="32"/>
          <w:lang w:val="en-US" w:eastAsia="zh-CN" w:bidi="ar-SA"/>
        </w:rPr>
        <w:t>（2）做实宗教“三支队伍”建设。</w:t>
      </w:r>
      <w:r>
        <w:rPr>
          <w:rFonts w:hint="eastAsia" w:ascii="仿宋_GB2312" w:hAnsi="仿宋_GB2312" w:eastAsia="仿宋_GB2312" w:cs="仿宋_GB2312"/>
          <w:b/>
          <w:bCs/>
          <w:kern w:val="2"/>
          <w:sz w:val="32"/>
          <w:szCs w:val="32"/>
          <w:lang w:val="en-US" w:eastAsia="zh-CN" w:bidi="ar-SA"/>
        </w:rPr>
        <w:t>一是聚焦党政管理干部队伍能力提升</w:t>
      </w:r>
      <w:r>
        <w:rPr>
          <w:rFonts w:hint="eastAsia" w:ascii="仿宋_GB2312" w:hAnsi="仿宋_GB2312" w:eastAsia="仿宋_GB2312" w:cs="仿宋_GB2312"/>
          <w:b w:val="0"/>
          <w:kern w:val="2"/>
          <w:sz w:val="32"/>
          <w:szCs w:val="32"/>
          <w:lang w:val="en-US" w:eastAsia="zh-CN" w:bidi="ar-SA"/>
        </w:rPr>
        <w:t>，10月28日至11月1日，在市委党校举办“全市民族宗教干部培训班（提升新时代民族宗教工作能力专题培训班），在怀高校党委统战部、市委统战领导小组成员单位、各县市区民宗干部、民宗工作重点乡镇(街道)负责人或统战委员，重点村(社区)党支部书记共计180人参加培训，切实提升做好民宗工作的能力水平。</w:t>
      </w:r>
      <w:r>
        <w:rPr>
          <w:rFonts w:hint="eastAsia" w:ascii="仿宋_GB2312" w:hAnsi="仿宋_GB2312" w:eastAsia="仿宋_GB2312" w:cs="仿宋_GB2312"/>
          <w:b/>
          <w:bCs/>
          <w:kern w:val="2"/>
          <w:sz w:val="32"/>
          <w:szCs w:val="32"/>
          <w:lang w:val="en-US" w:eastAsia="zh-CN" w:bidi="ar-SA"/>
        </w:rPr>
        <w:t>二是聚焦宗教教职人员队伍建设，</w:t>
      </w:r>
      <w:r>
        <w:rPr>
          <w:rFonts w:hint="eastAsia" w:ascii="仿宋_GB2312" w:hAnsi="仿宋_GB2312" w:eastAsia="仿宋_GB2312" w:cs="仿宋_GB2312"/>
          <w:b w:val="0"/>
          <w:kern w:val="2"/>
          <w:sz w:val="32"/>
          <w:szCs w:val="32"/>
          <w:lang w:val="en-US" w:eastAsia="zh-CN" w:bidi="ar-SA"/>
        </w:rPr>
        <w:t>配优宗教界代表人士队伍，以“四正四清”行动、“五进五好”活动为抓手，指导各宗教团体做好班子成员述职和民主评议工作，定期组织开展宗教界谈心谈话活动。创新出台《县市区宗教团体换届工作指导意见》，坚持“政治上靠得住，宗教上有造诣，品德上能服众，关键时起作用”的用人标准，选好配强各级宗教团体领导机构和领导班子，实现了年龄、学历、能力的不断优化。</w:t>
      </w:r>
      <w:r>
        <w:rPr>
          <w:rFonts w:hint="eastAsia" w:ascii="仿宋_GB2312" w:hAnsi="仿宋_GB2312" w:eastAsia="仿宋_GB2312" w:cs="仿宋_GB2312"/>
          <w:b/>
          <w:bCs/>
          <w:kern w:val="2"/>
          <w:sz w:val="32"/>
          <w:szCs w:val="32"/>
          <w:lang w:val="en-US" w:eastAsia="zh-CN" w:bidi="ar-SA"/>
        </w:rPr>
        <w:t>三是聚焦建设宗教研究队伍</w:t>
      </w:r>
      <w:r>
        <w:rPr>
          <w:rFonts w:hint="eastAsia" w:ascii="仿宋_GB2312" w:hAnsi="仿宋_GB2312" w:eastAsia="仿宋_GB2312" w:cs="仿宋_GB2312"/>
          <w:b w:val="0"/>
          <w:kern w:val="2"/>
          <w:sz w:val="32"/>
          <w:szCs w:val="32"/>
          <w:lang w:val="en-US" w:eastAsia="zh-CN" w:bidi="ar-SA"/>
        </w:rPr>
        <w:t>，依托怀化学院宗教学研究力量，促成开展宗教课题委托研究项目协议合作，积极培养本土马克思主义宗教学代表队伍。</w:t>
      </w:r>
    </w:p>
    <w:p>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firstLine="640" w:firstLineChars="200"/>
        <w:textAlignment w:val="auto"/>
        <w:outlineLvl w:val="9"/>
        <w:rPr>
          <w:rFonts w:hint="eastAsia" w:ascii="仿宋_GB2312" w:hAnsi="仿宋_GB2312" w:eastAsia="仿宋_GB2312" w:cs="仿宋_GB2312"/>
          <w:b w:val="0"/>
          <w:kern w:val="2"/>
          <w:sz w:val="32"/>
          <w:szCs w:val="32"/>
          <w:lang w:val="en-US" w:eastAsia="zh-CN" w:bidi="ar-SA"/>
        </w:rPr>
      </w:pPr>
      <w:r>
        <w:rPr>
          <w:rFonts w:hint="eastAsia" w:ascii="楷体_GB2312" w:hAnsi="楷体_GB2312" w:eastAsia="楷体_GB2312" w:cs="楷体_GB2312"/>
          <w:b w:val="0"/>
          <w:bCs w:val="0"/>
          <w:kern w:val="2"/>
          <w:sz w:val="32"/>
          <w:szCs w:val="32"/>
          <w:lang w:val="en-US" w:eastAsia="zh-CN" w:bidi="ar-SA"/>
        </w:rPr>
        <w:t>（3）做实依法治理工作。</w:t>
      </w:r>
      <w:r>
        <w:rPr>
          <w:rFonts w:hint="eastAsia" w:ascii="楷体_GB2312" w:hAnsi="楷体_GB2312" w:eastAsia="楷体_GB2312" w:cs="楷体_GB2312"/>
          <w:b/>
          <w:bCs/>
          <w:kern w:val="2"/>
          <w:sz w:val="32"/>
          <w:szCs w:val="32"/>
          <w:lang w:val="en-US" w:eastAsia="zh-CN" w:bidi="ar-SA"/>
        </w:rPr>
        <w:t>一是（涉密）二是（涉密）</w:t>
      </w:r>
      <w:r>
        <w:rPr>
          <w:rFonts w:hint="eastAsia" w:ascii="仿宋_GB2312" w:hAnsi="仿宋_GB2312" w:eastAsia="仿宋_GB2312" w:cs="仿宋_GB2312"/>
          <w:b/>
          <w:bCs/>
          <w:sz w:val="32"/>
          <w:szCs w:val="32"/>
          <w:lang w:val="en-US" w:eastAsia="zh-CN"/>
        </w:rPr>
        <w:t>三是全面提升依法治理能力。</w:t>
      </w:r>
      <w:r>
        <w:rPr>
          <w:rFonts w:hint="eastAsia" w:ascii="仿宋_GB2312" w:hAnsi="仿宋_GB2312" w:eastAsia="仿宋_GB2312" w:cs="仿宋_GB2312"/>
          <w:sz w:val="32"/>
          <w:szCs w:val="32"/>
          <w:lang w:val="en-US" w:eastAsia="zh-CN"/>
        </w:rPr>
        <w:t>编制出版《宗教政策法规汇编》，为推动我市科学高效开展宗教工作提供政策法规依据。结合9月民宗政策法规宣传月活动，持续加强对干部群众的宗教政策法规教育培训，</w:t>
      </w:r>
      <w:r>
        <w:rPr>
          <w:rFonts w:hint="eastAsia" w:ascii="仿宋_GB2312" w:hAnsi="仿宋_GB2312" w:eastAsia="仿宋_GB2312" w:cs="仿宋_GB2312"/>
          <w:b w:val="0"/>
          <w:kern w:val="2"/>
          <w:sz w:val="32"/>
          <w:szCs w:val="32"/>
          <w:lang w:val="en-US" w:eastAsia="zh-CN" w:bidi="ar-SA"/>
        </w:rPr>
        <w:t>扎实开展宗教活动场所法人登记和不动产登记工作，目前全市依法办理法人登记的宗教活动场所9个，办理不动产登记的宗教活动场所12处，办理土地使用证的宗教活动场所67处，办理房屋产权证的宗教活动场所53处，深入推动宗教活动场所规范化管理。</w:t>
      </w:r>
    </w:p>
    <w:p>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firstLine="640" w:firstLineChars="200"/>
        <w:textAlignment w:val="auto"/>
        <w:outlineLvl w:val="9"/>
        <w:rPr>
          <w:rFonts w:hint="eastAsia" w:ascii="仿宋_GB2312" w:hAnsi="仿宋_GB2312" w:eastAsia="仿宋_GB2312" w:cs="仿宋_GB2312"/>
          <w:b w:val="0"/>
          <w:kern w:val="2"/>
          <w:sz w:val="32"/>
          <w:szCs w:val="32"/>
          <w:lang w:val="en-US" w:eastAsia="zh-CN" w:bidi="ar-SA"/>
        </w:rPr>
      </w:pPr>
      <w:r>
        <w:rPr>
          <w:rFonts w:hint="eastAsia" w:ascii="楷体_GB2312" w:hAnsi="楷体_GB2312" w:eastAsia="楷体_GB2312" w:cs="楷体_GB2312"/>
          <w:b w:val="0"/>
          <w:bCs w:val="0"/>
          <w:kern w:val="2"/>
          <w:sz w:val="32"/>
          <w:szCs w:val="32"/>
          <w:lang w:val="en-US" w:eastAsia="zh-CN" w:bidi="ar-SA"/>
        </w:rPr>
        <w:t>（4）做实风险隐患防控。</w:t>
      </w:r>
      <w:r>
        <w:rPr>
          <w:rFonts w:hint="eastAsia" w:ascii="仿宋_GB2312" w:hAnsi="仿宋_GB2312" w:eastAsia="仿宋_GB2312" w:cs="仿宋_GB2312"/>
          <w:b/>
          <w:bCs/>
          <w:sz w:val="32"/>
          <w:szCs w:val="32"/>
          <w:lang w:val="en-US" w:eastAsia="zh-CN"/>
        </w:rPr>
        <w:t>一是扎实做好宗教网络舆情和风险防控处置。（涉密）二是守牢安全生产底线。</w:t>
      </w:r>
      <w:r>
        <w:rPr>
          <w:rFonts w:hint="eastAsia" w:ascii="仿宋_GB2312" w:hAnsi="仿宋_GB2312" w:eastAsia="仿宋_GB2312" w:cs="仿宋_GB2312"/>
          <w:b w:val="0"/>
          <w:kern w:val="2"/>
          <w:sz w:val="32"/>
          <w:szCs w:val="32"/>
          <w:lang w:val="en-US" w:eastAsia="zh-CN" w:bidi="ar-SA"/>
        </w:rPr>
        <w:t>下发《全市民宗领域安全生产大检查发现问题交办单》7个，排查出安全隐患15个，现已全部整改到位。持续做好宗教活动场所居民自建房整治，按照“三管三必须”“谁审批谁监管”要求，认真抓好宗教活动场所和民间信仰场所、宗教临时活动地点房屋安全管理。共发现隐患场所62处，现已全部整改到位。深入开展“全民国家安全教育日”宣教活动，9月26日至27日组织开展全市民宗系统安全生产和消防工作培训暨宗教活动场所消防应急演练，引导信教群众和宗教活动场所树牢安全红线意识，增进风险防患本领。</w:t>
      </w:r>
      <w:r>
        <w:rPr>
          <w:rFonts w:hint="eastAsia" w:ascii="仿宋_GB2312" w:hAnsi="仿宋_GB2312" w:eastAsia="仿宋_GB2312" w:cs="仿宋_GB2312"/>
          <w:b/>
          <w:bCs/>
          <w:kern w:val="2"/>
          <w:sz w:val="32"/>
          <w:szCs w:val="32"/>
          <w:lang w:val="en-US" w:eastAsia="zh-CN" w:bidi="ar-SA"/>
        </w:rPr>
        <w:t>三是规范宗教活动场所管理。</w:t>
      </w:r>
      <w:r>
        <w:rPr>
          <w:rFonts w:hint="eastAsia" w:ascii="仿宋_GB2312" w:hAnsi="仿宋_GB2312" w:eastAsia="仿宋_GB2312" w:cs="仿宋_GB2312"/>
          <w:b w:val="0"/>
          <w:kern w:val="2"/>
          <w:sz w:val="32"/>
          <w:szCs w:val="32"/>
          <w:lang w:val="en-US" w:eastAsia="zh-CN" w:bidi="ar-SA"/>
        </w:rPr>
        <w:t>全面完善宗教活动场所财务、建设、安全、监管制度，深入开展崇俭戒奢和清廉单元建设，引导宗教教职人员正信正行，大力弘扬厉行节约、崇尚简朴的理念，坚决纠正和遏制宗教领域不良风气，促进宗教健康传承发展。</w:t>
      </w:r>
    </w:p>
    <w:p>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firstLine="640" w:firstLineChars="200"/>
        <w:textAlignment w:val="auto"/>
        <w:outlineLvl w:val="9"/>
        <w:rPr>
          <w:rFonts w:hint="eastAsia" w:ascii="黑体" w:hAnsi="黑体" w:eastAsia="黑体" w:cs="黑体"/>
          <w:b w:val="0"/>
          <w:kern w:val="2"/>
          <w:sz w:val="32"/>
          <w:szCs w:val="32"/>
          <w:lang w:val="en-US" w:eastAsia="zh-CN" w:bidi="ar-SA"/>
        </w:rPr>
      </w:pPr>
      <w:r>
        <w:rPr>
          <w:rFonts w:hint="eastAsia" w:ascii="黑体" w:hAnsi="黑体" w:eastAsia="黑体" w:cs="黑体"/>
          <w:b w:val="0"/>
          <w:kern w:val="2"/>
          <w:sz w:val="32"/>
          <w:szCs w:val="32"/>
          <w:lang w:val="en-US" w:eastAsia="zh-CN" w:bidi="ar-SA"/>
        </w:rPr>
        <w:t>4、全面从严治党，着力营造风清气正的良好政治生态</w:t>
      </w:r>
    </w:p>
    <w:p>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b w:val="0"/>
          <w:bCs w:val="0"/>
          <w:kern w:val="2"/>
          <w:sz w:val="32"/>
          <w:szCs w:val="32"/>
          <w:lang w:val="en-US" w:eastAsia="zh-CN" w:bidi="ar-SA"/>
        </w:rPr>
        <w:t>（1）坚决扛牢全面从严治党政治责任。</w:t>
      </w:r>
      <w:r>
        <w:rPr>
          <w:rFonts w:hint="eastAsia" w:ascii="仿宋_GB2312" w:hAnsi="仿宋_GB2312" w:eastAsia="仿宋_GB2312" w:cs="仿宋_GB2312"/>
          <w:b/>
          <w:bCs/>
          <w:sz w:val="32"/>
          <w:szCs w:val="32"/>
          <w:lang w:val="en-US" w:eastAsia="zh-CN"/>
        </w:rPr>
        <w:t>一是筑牢“不想腐”的思想根基。</w:t>
      </w:r>
      <w:r>
        <w:rPr>
          <w:rFonts w:hint="eastAsia" w:ascii="仿宋_GB2312" w:hAnsi="仿宋_GB2312" w:eastAsia="仿宋_GB2312" w:cs="仿宋_GB2312"/>
          <w:sz w:val="32"/>
          <w:szCs w:val="32"/>
        </w:rPr>
        <w:t>抓实主体责任</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制定</w:t>
      </w:r>
      <w:r>
        <w:rPr>
          <w:rFonts w:hint="eastAsia" w:ascii="仿宋_GB2312" w:hAnsi="仿宋_GB2312" w:eastAsia="仿宋_GB2312" w:cs="仿宋_GB2312"/>
          <w:sz w:val="32"/>
          <w:szCs w:val="32"/>
          <w:lang w:eastAsia="zh-CN"/>
        </w:rPr>
        <w:t>市民宗局</w:t>
      </w:r>
      <w:r>
        <w:rPr>
          <w:rFonts w:hint="eastAsia" w:ascii="仿宋_GB2312" w:hAnsi="仿宋_GB2312" w:eastAsia="仿宋_GB2312" w:cs="仿宋_GB2312"/>
          <w:sz w:val="32"/>
          <w:szCs w:val="32"/>
        </w:rPr>
        <w:t>党组主要负责人、班子成员责任清单，推动主体责任和监督责任落地落实。</w:t>
      </w:r>
      <w:r>
        <w:rPr>
          <w:rFonts w:hint="eastAsia" w:ascii="仿宋_GB2312" w:hAnsi="仿宋_GB2312" w:eastAsia="仿宋_GB2312" w:cs="仿宋_GB2312"/>
          <w:b/>
          <w:bCs/>
          <w:sz w:val="32"/>
          <w:szCs w:val="32"/>
          <w:lang w:val="en-US" w:eastAsia="zh-CN"/>
        </w:rPr>
        <w:t>二是营造“不能腐”的用权氛围。</w:t>
      </w:r>
      <w:r>
        <w:rPr>
          <w:rFonts w:hint="eastAsia" w:ascii="仿宋_GB2312" w:hAnsi="仿宋_GB2312" w:eastAsia="仿宋_GB2312" w:cs="仿宋_GB2312"/>
          <w:sz w:val="32"/>
          <w:szCs w:val="32"/>
        </w:rPr>
        <w:t>抓实“一把手”第一责任人责任，党组主要领导坚持重要问题</w:t>
      </w:r>
      <w:r>
        <w:rPr>
          <w:rFonts w:hint="eastAsia" w:ascii="仿宋_GB2312" w:hAnsi="仿宋_GB2312" w:eastAsia="仿宋_GB2312" w:cs="仿宋_GB2312"/>
          <w:sz w:val="32"/>
          <w:szCs w:val="32"/>
          <w:lang w:eastAsia="zh-CN"/>
        </w:rPr>
        <w:t>亲自</w:t>
      </w:r>
      <w:r>
        <w:rPr>
          <w:rFonts w:hint="eastAsia" w:ascii="仿宋_GB2312" w:hAnsi="仿宋_GB2312" w:eastAsia="仿宋_GB2312" w:cs="仿宋_GB2312"/>
          <w:sz w:val="32"/>
          <w:szCs w:val="32"/>
        </w:rPr>
        <w:t>部署、重大问题亲自督导、重点环节亲</w:t>
      </w:r>
      <w:r>
        <w:rPr>
          <w:rFonts w:hint="eastAsia" w:ascii="仿宋_GB2312" w:hAnsi="仿宋_GB2312" w:eastAsia="仿宋_GB2312" w:cs="仿宋_GB2312"/>
          <w:sz w:val="32"/>
          <w:szCs w:val="32"/>
          <w:lang w:eastAsia="zh-CN"/>
        </w:rPr>
        <w:t>自</w:t>
      </w:r>
      <w:r>
        <w:rPr>
          <w:rFonts w:hint="eastAsia" w:ascii="仿宋_GB2312" w:hAnsi="仿宋_GB2312" w:eastAsia="仿宋_GB2312" w:cs="仿宋_GB2312"/>
          <w:sz w:val="32"/>
          <w:szCs w:val="32"/>
        </w:rPr>
        <w:t>协调，强化“一把手”监督班子成员认真履行“一岗双责”，</w:t>
      </w:r>
      <w:r>
        <w:rPr>
          <w:rFonts w:hint="eastAsia" w:ascii="仿宋_GB2312" w:hAnsi="仿宋_GB2312" w:eastAsia="仿宋_GB2312" w:cs="仿宋_GB2312"/>
          <w:sz w:val="32"/>
          <w:szCs w:val="32"/>
          <w:lang w:eastAsia="zh-CN"/>
        </w:rPr>
        <w:t>定期</w:t>
      </w:r>
      <w:r>
        <w:rPr>
          <w:rFonts w:hint="eastAsia" w:ascii="仿宋_GB2312" w:hAnsi="仿宋_GB2312" w:eastAsia="仿宋_GB2312" w:cs="仿宋_GB2312"/>
          <w:sz w:val="32"/>
          <w:szCs w:val="32"/>
        </w:rPr>
        <w:t>督查分管</w:t>
      </w:r>
      <w:r>
        <w:rPr>
          <w:rFonts w:hint="eastAsia" w:ascii="仿宋_GB2312" w:hAnsi="仿宋_GB2312" w:eastAsia="仿宋_GB2312" w:cs="仿宋_GB2312"/>
          <w:sz w:val="32"/>
          <w:szCs w:val="32"/>
          <w:lang w:eastAsia="zh-CN"/>
        </w:rPr>
        <w:t>科室</w:t>
      </w:r>
      <w:r>
        <w:rPr>
          <w:rFonts w:hint="eastAsia" w:ascii="仿宋_GB2312" w:hAnsi="仿宋_GB2312" w:eastAsia="仿宋_GB2312" w:cs="仿宋_GB2312"/>
          <w:sz w:val="32"/>
          <w:szCs w:val="32"/>
        </w:rPr>
        <w:t>（中心）和分管领域履职尽责工作，压实第一责任和监督责任。</w:t>
      </w:r>
      <w:r>
        <w:rPr>
          <w:rFonts w:hint="eastAsia" w:ascii="仿宋_GB2312" w:hAnsi="仿宋_GB2312" w:eastAsia="仿宋_GB2312" w:cs="仿宋_GB2312"/>
          <w:kern w:val="2"/>
          <w:sz w:val="32"/>
          <w:szCs w:val="32"/>
          <w:u w:val="none"/>
          <w:lang w:val="en-US" w:eastAsia="zh-CN" w:bidi="ar-SA"/>
        </w:rPr>
        <w:t>班子成员带头严格落实中央八项规定及其实施细则精神，驰而不息纠治“四风”，深化党政机关过紧日子，严守廉洁自律各项规定。</w:t>
      </w:r>
      <w:r>
        <w:rPr>
          <w:rFonts w:hint="eastAsia" w:ascii="仿宋_GB2312" w:hAnsi="仿宋_GB2312" w:eastAsia="仿宋_GB2312" w:cs="仿宋_GB2312"/>
          <w:b/>
          <w:bCs/>
          <w:sz w:val="32"/>
          <w:szCs w:val="32"/>
          <w:lang w:val="en-US" w:eastAsia="zh-CN"/>
        </w:rPr>
        <w:t>三是绷紧“不敢腐”的防控之弦。</w:t>
      </w:r>
      <w:r>
        <w:rPr>
          <w:rFonts w:hint="eastAsia" w:ascii="仿宋_GB2312" w:hAnsi="仿宋_GB2312" w:eastAsia="仿宋_GB2312" w:cs="仿宋_GB2312"/>
          <w:sz w:val="32"/>
          <w:szCs w:val="32"/>
        </w:rPr>
        <w:t>抓实“一岗双责”</w:t>
      </w:r>
      <w:r>
        <w:rPr>
          <w:rFonts w:hint="eastAsia" w:ascii="仿宋_GB2312" w:hAnsi="仿宋_GB2312" w:eastAsia="仿宋_GB2312" w:cs="仿宋_GB2312"/>
          <w:sz w:val="32"/>
          <w:szCs w:val="32"/>
          <w:lang w:eastAsia="zh-CN"/>
        </w:rPr>
        <w:t>，紧盯</w:t>
      </w:r>
      <w:r>
        <w:rPr>
          <w:rFonts w:hint="eastAsia" w:ascii="仿宋_GB2312" w:hAnsi="仿宋_GB2312" w:eastAsia="仿宋_GB2312" w:cs="仿宋_GB2312"/>
          <w:sz w:val="32"/>
          <w:szCs w:val="32"/>
        </w:rPr>
        <w:t>班子成员分管领域党建、党风廉政建设、防范化解重大风险、安全生产、保密工作责任。认真做好</w:t>
      </w:r>
      <w:r>
        <w:rPr>
          <w:rFonts w:hint="eastAsia" w:ascii="仿宋_GB2312" w:hAnsi="仿宋_GB2312" w:eastAsia="仿宋_GB2312" w:cs="仿宋_GB2312"/>
          <w:sz w:val="32"/>
          <w:szCs w:val="32"/>
          <w:lang w:eastAsia="zh-CN"/>
        </w:rPr>
        <w:t>巡察</w:t>
      </w:r>
      <w:r>
        <w:rPr>
          <w:rFonts w:hint="eastAsia" w:ascii="仿宋_GB2312" w:hAnsi="仿宋_GB2312" w:eastAsia="仿宋_GB2312" w:cs="仿宋_GB2312"/>
          <w:sz w:val="32"/>
          <w:szCs w:val="32"/>
        </w:rPr>
        <w:t>整改</w:t>
      </w:r>
      <w:r>
        <w:rPr>
          <w:rFonts w:hint="eastAsia" w:ascii="仿宋_GB2312" w:hAnsi="仿宋_GB2312" w:eastAsia="仿宋_GB2312" w:cs="仿宋_GB2312"/>
          <w:sz w:val="32"/>
          <w:szCs w:val="32"/>
          <w:lang w:eastAsia="zh-CN"/>
        </w:rPr>
        <w:t>工作</w:t>
      </w:r>
      <w:r>
        <w:rPr>
          <w:rFonts w:hint="eastAsia" w:ascii="仿宋_GB2312" w:hAnsi="仿宋_GB2312" w:eastAsia="仿宋_GB2312" w:cs="仿宋_GB2312"/>
          <w:sz w:val="32"/>
          <w:szCs w:val="32"/>
        </w:rPr>
        <w:t>，制定</w:t>
      </w:r>
      <w:r>
        <w:rPr>
          <w:rFonts w:hint="eastAsia" w:ascii="仿宋_GB2312" w:hAnsi="仿宋_GB2312" w:eastAsia="仿宋_GB2312" w:cs="仿宋_GB2312"/>
          <w:sz w:val="32"/>
          <w:szCs w:val="32"/>
          <w:lang w:eastAsia="zh-CN"/>
        </w:rPr>
        <w:t>市委第三巡查组巡察</w:t>
      </w:r>
      <w:r>
        <w:rPr>
          <w:rFonts w:hint="eastAsia" w:ascii="仿宋_GB2312" w:hAnsi="仿宋_GB2312" w:eastAsia="仿宋_GB2312" w:cs="仿宋_GB2312"/>
          <w:sz w:val="32"/>
          <w:szCs w:val="32"/>
        </w:rPr>
        <w:t>反馈</w:t>
      </w:r>
      <w:r>
        <w:rPr>
          <w:rFonts w:hint="eastAsia" w:ascii="仿宋_GB2312" w:hAnsi="仿宋_GB2312" w:eastAsia="仿宋_GB2312" w:cs="仿宋_GB2312"/>
          <w:sz w:val="32"/>
          <w:szCs w:val="32"/>
          <w:lang w:eastAsia="zh-CN"/>
        </w:rPr>
        <w:t>意见</w:t>
      </w:r>
      <w:r>
        <w:rPr>
          <w:rFonts w:hint="eastAsia" w:ascii="仿宋_GB2312" w:hAnsi="仿宋_GB2312" w:eastAsia="仿宋_GB2312" w:cs="仿宋_GB2312"/>
          <w:sz w:val="32"/>
          <w:szCs w:val="32"/>
        </w:rPr>
        <w:t>整改</w:t>
      </w:r>
      <w:r>
        <w:rPr>
          <w:rFonts w:hint="eastAsia" w:ascii="仿宋_GB2312" w:hAnsi="仿宋_GB2312" w:eastAsia="仿宋_GB2312" w:cs="仿宋_GB2312"/>
          <w:sz w:val="32"/>
          <w:szCs w:val="32"/>
          <w:lang w:eastAsia="zh-CN"/>
        </w:rPr>
        <w:t>方案及</w:t>
      </w:r>
      <w:r>
        <w:rPr>
          <w:rFonts w:hint="eastAsia" w:ascii="仿宋_GB2312" w:hAnsi="仿宋_GB2312" w:eastAsia="仿宋_GB2312" w:cs="仿宋_GB2312"/>
          <w:sz w:val="32"/>
          <w:szCs w:val="32"/>
        </w:rPr>
        <w:t>台账，</w:t>
      </w:r>
      <w:r>
        <w:rPr>
          <w:rFonts w:hint="eastAsia" w:ascii="仿宋_GB2312" w:hAnsi="仿宋_GB2312" w:eastAsia="仿宋_GB2312" w:cs="仿宋_GB2312"/>
          <w:sz w:val="32"/>
          <w:szCs w:val="32"/>
          <w:lang w:eastAsia="zh-CN"/>
        </w:rPr>
        <w:t>逐条</w:t>
      </w:r>
      <w:r>
        <w:rPr>
          <w:rFonts w:hint="eastAsia" w:ascii="仿宋_GB2312" w:hAnsi="仿宋_GB2312" w:eastAsia="仿宋_GB2312" w:cs="仿宋_GB2312"/>
          <w:sz w:val="32"/>
          <w:szCs w:val="32"/>
        </w:rPr>
        <w:t>逐</w:t>
      </w:r>
      <w:r>
        <w:rPr>
          <w:rFonts w:hint="eastAsia" w:ascii="仿宋_GB2312" w:hAnsi="仿宋_GB2312" w:eastAsia="仿宋_GB2312" w:cs="仿宋_GB2312"/>
          <w:sz w:val="32"/>
          <w:szCs w:val="32"/>
          <w:lang w:eastAsia="zh-CN"/>
        </w:rPr>
        <w:t>项明确</w:t>
      </w:r>
      <w:r>
        <w:rPr>
          <w:rFonts w:hint="eastAsia" w:ascii="仿宋_GB2312" w:hAnsi="仿宋_GB2312" w:eastAsia="仿宋_GB2312" w:cs="仿宋_GB2312"/>
          <w:sz w:val="32"/>
          <w:szCs w:val="32"/>
        </w:rPr>
        <w:t>整改</w:t>
      </w:r>
      <w:r>
        <w:rPr>
          <w:rFonts w:hint="eastAsia" w:ascii="仿宋_GB2312" w:hAnsi="仿宋_GB2312" w:eastAsia="仿宋_GB2312" w:cs="仿宋_GB2312"/>
          <w:sz w:val="32"/>
          <w:szCs w:val="32"/>
          <w:lang w:eastAsia="zh-CN"/>
        </w:rPr>
        <w:t>责任领导、</w:t>
      </w:r>
      <w:r>
        <w:rPr>
          <w:rFonts w:hint="eastAsia" w:ascii="仿宋_GB2312" w:hAnsi="仿宋_GB2312" w:eastAsia="仿宋_GB2312" w:cs="仿宋_GB2312"/>
          <w:sz w:val="32"/>
          <w:szCs w:val="32"/>
        </w:rPr>
        <w:t>责任科室、责任人，实行限期整改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销号管理，以钉钉子精神，锲而不舍抓好长期整改任务的落实和整改成果的固化。</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80" w:lineRule="exact"/>
        <w:ind w:left="0" w:leftChars="0" w:firstLine="640" w:firstLineChars="200"/>
        <w:textAlignment w:val="auto"/>
        <w:outlineLvl w:val="9"/>
        <w:rPr>
          <w:rFonts w:hint="eastAsia" w:ascii="仿宋_GB2312" w:hAnsi="仿宋_GB2312" w:eastAsia="仿宋_GB2312" w:cs="仿宋_GB2312"/>
          <w:b w:val="0"/>
          <w:bCs w:val="0"/>
          <w:kern w:val="2"/>
          <w:sz w:val="32"/>
          <w:szCs w:val="32"/>
          <w:lang w:val="en-US" w:eastAsia="zh-CN" w:bidi="ar-SA"/>
        </w:rPr>
      </w:pPr>
      <w:r>
        <w:rPr>
          <w:rFonts w:hint="eastAsia" w:ascii="楷体_GB2312" w:hAnsi="楷体_GB2312" w:eastAsia="楷体_GB2312" w:cs="楷体_GB2312"/>
          <w:b w:val="0"/>
          <w:bCs w:val="0"/>
          <w:kern w:val="2"/>
          <w:sz w:val="32"/>
          <w:szCs w:val="32"/>
          <w:lang w:val="en-US" w:eastAsia="zh-CN" w:bidi="ar-SA"/>
        </w:rPr>
        <w:t>（2）扎实开展党纪学习教育。</w:t>
      </w:r>
      <w:r>
        <w:rPr>
          <w:rFonts w:hint="eastAsia" w:ascii="仿宋_GB2312" w:hAnsi="仿宋_GB2312" w:eastAsia="仿宋_GB2312" w:cs="仿宋_GB2312"/>
          <w:sz w:val="32"/>
          <w:szCs w:val="32"/>
          <w:lang w:val="en-US" w:eastAsia="zh-CN"/>
        </w:rPr>
        <w:t>紧扣“学纪、知纪、明纪、守纪”要求，高标准开展党纪学习教育，先后召开4次局党组（扩大）会议，开展5次党组理论学习中心组专题（扩大）学习，举办专题读书班1期，专题学习研讨习近平总书记关于党的建设和党纪学习教育的系列重要论述和重要指示批示精神，形成10多篇高质量学习心得，推进党纪学习教育走深走实。</w:t>
      </w:r>
    </w:p>
    <w:p>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firstLine="640" w:firstLineChars="200"/>
        <w:textAlignment w:val="auto"/>
        <w:outlineLvl w:val="9"/>
        <w:rPr>
          <w:rFonts w:hint="eastAsia" w:ascii="仿宋_GB2312" w:hAnsi="仿宋_GB2312" w:eastAsia="仿宋_GB2312" w:cs="仿宋_GB2312"/>
          <w:color w:val="auto"/>
          <w:kern w:val="0"/>
          <w:sz w:val="32"/>
          <w:szCs w:val="32"/>
          <w:lang w:val="en-US" w:eastAsia="zh-CN"/>
        </w:rPr>
      </w:pPr>
      <w:r>
        <w:rPr>
          <w:rFonts w:hint="eastAsia" w:ascii="楷体_GB2312" w:hAnsi="楷体_GB2312" w:eastAsia="楷体_GB2312" w:cs="楷体_GB2312"/>
          <w:b w:val="0"/>
          <w:bCs w:val="0"/>
          <w:kern w:val="2"/>
          <w:sz w:val="32"/>
          <w:szCs w:val="32"/>
          <w:lang w:val="en-US" w:eastAsia="zh-CN" w:bidi="ar-SA"/>
        </w:rPr>
        <w:t>（3）深入推进法治政府建设。</w:t>
      </w:r>
      <w:r>
        <w:rPr>
          <w:rFonts w:hint="eastAsia" w:ascii="仿宋_GB2312" w:hAnsi="仿宋_GB2312" w:eastAsia="仿宋_GB2312" w:cs="仿宋_GB2312"/>
          <w:color w:val="auto"/>
          <w:kern w:val="0"/>
          <w:sz w:val="32"/>
          <w:szCs w:val="32"/>
          <w:lang w:val="en-US" w:eastAsia="zh-CN"/>
        </w:rPr>
        <w:t>党组班子坚持带头学法守法，将法律法规学习列入党组理论学习中心组学习重要内容，制定领导班子学习计划，确保每年不少于40个学时的法治学习。召开4次党组理论学习中心组学习会议，先后学习《中华人民</w:t>
      </w:r>
      <w:bookmarkStart w:id="3" w:name="_GoBack"/>
      <w:bookmarkEnd w:id="3"/>
      <w:r>
        <w:rPr>
          <w:rFonts w:hint="eastAsia" w:ascii="仿宋_GB2312" w:hAnsi="仿宋_GB2312" w:eastAsia="仿宋_GB2312" w:cs="仿宋_GB2312"/>
          <w:color w:val="auto"/>
          <w:kern w:val="0"/>
          <w:sz w:val="32"/>
          <w:szCs w:val="32"/>
          <w:lang w:val="en-US" w:eastAsia="zh-CN"/>
        </w:rPr>
        <w:t>共和国保守国家秘密法》《中华人共和国国家安全法》《中国共产党纪律处分条例》等法律法规，提升依法行政水平。加强法治宣传教育，结合“八五”普法，于今年9月开展民族团结进步和宗教政策法规宣传月活动。聘请1名专业律师为单位法律顾问，加强合法性审查，确保重大行政决策合法合规。</w:t>
      </w:r>
    </w:p>
    <w:p>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firstLine="640" w:firstLineChars="200"/>
        <w:textAlignment w:val="auto"/>
        <w:outlineLvl w:val="9"/>
        <w:rPr>
          <w:rFonts w:hint="eastAsia" w:ascii="仿宋_GB2312" w:hAnsi="仿宋_GB2312" w:eastAsia="仿宋_GB2312" w:cs="仿宋_GB2312"/>
          <w:b/>
          <w:bCs/>
          <w:color w:val="auto"/>
          <w:kern w:val="0"/>
          <w:sz w:val="32"/>
          <w:szCs w:val="32"/>
          <w:lang w:val="en-US" w:eastAsia="zh-CN" w:bidi="ar-SA"/>
        </w:rPr>
      </w:pPr>
      <w:r>
        <w:rPr>
          <w:rFonts w:hint="eastAsia" w:ascii="楷体_GB2312" w:hAnsi="楷体_GB2312" w:eastAsia="楷体_GB2312" w:cs="楷体_GB2312"/>
          <w:b w:val="0"/>
          <w:bCs w:val="0"/>
          <w:kern w:val="2"/>
          <w:sz w:val="32"/>
          <w:szCs w:val="32"/>
          <w:lang w:val="en-US" w:eastAsia="zh-CN" w:bidi="ar-SA"/>
        </w:rPr>
        <w:t>（4）抓实抓细基层党建重点工作。</w:t>
      </w:r>
      <w:r>
        <w:rPr>
          <w:rFonts w:hint="eastAsia" w:ascii="仿宋_GB2312" w:hAnsi="仿宋_GB2312" w:eastAsia="仿宋_GB2312" w:cs="仿宋_GB2312"/>
          <w:sz w:val="32"/>
          <w:szCs w:val="32"/>
          <w:lang w:val="en-US" w:eastAsia="zh-CN"/>
        </w:rPr>
        <w:t>局党组专题研究党建工作2次，部署党建工作4次，制定机关党建工作要点，明确全年重点任务和责任人员，及时下发支部主题党日</w:t>
      </w:r>
      <w:r>
        <w:rPr>
          <w:rFonts w:hint="eastAsia" w:ascii="仿宋_GB2312" w:hAnsi="仿宋_GB2312" w:eastAsia="仿宋_GB2312" w:cs="仿宋_GB2312"/>
          <w:sz w:val="32"/>
          <w:szCs w:val="32"/>
          <w:highlight w:val="none"/>
          <w:lang w:val="en-US" w:eastAsia="zh-CN"/>
        </w:rPr>
        <w:t>活动工作提示11次，从严从实打造“四强”党支部。</w:t>
      </w:r>
      <w:r>
        <w:rPr>
          <w:rFonts w:hint="eastAsia" w:ascii="仿宋_GB2312" w:hAnsi="仿宋_GB2312" w:eastAsia="仿宋_GB2312" w:cs="仿宋_GB2312"/>
          <w:sz w:val="32"/>
          <w:szCs w:val="32"/>
          <w:lang w:val="en-US" w:eastAsia="zh-CN"/>
        </w:rPr>
        <w:t>召开支部党员大会10次，支委会14次，举办党的二十届三中全会精神学习培训班1期。</w:t>
      </w:r>
      <w:r>
        <w:rPr>
          <w:rFonts w:hint="eastAsia" w:ascii="仿宋_GB2312" w:hAnsi="仿宋_GB2312" w:eastAsia="仿宋_GB2312" w:cs="仿宋_GB2312"/>
          <w:sz w:val="32"/>
          <w:szCs w:val="32"/>
        </w:rPr>
        <w:t>认真</w:t>
      </w:r>
      <w:r>
        <w:rPr>
          <w:rFonts w:hint="eastAsia" w:ascii="仿宋_GB2312" w:hAnsi="仿宋_GB2312" w:eastAsia="仿宋_GB2312" w:cs="仿宋_GB2312"/>
          <w:sz w:val="32"/>
          <w:szCs w:val="32"/>
          <w:lang w:eastAsia="zh-CN"/>
        </w:rPr>
        <w:t>落实“三会一课”主题党日、民主评议等制度，班子成员以普通党员身份参加民宗局党支部组织生活会，为党员干</w:t>
      </w:r>
      <w:r>
        <w:rPr>
          <w:rFonts w:hint="eastAsia" w:ascii="仿宋_GB2312" w:hAnsi="仿宋_GB2312" w:eastAsia="仿宋_GB2312" w:cs="仿宋_GB2312"/>
          <w:color w:val="auto"/>
          <w:sz w:val="32"/>
          <w:szCs w:val="32"/>
          <w:lang w:eastAsia="zh-CN"/>
        </w:rPr>
        <w:t>部上党课</w:t>
      </w:r>
      <w:r>
        <w:rPr>
          <w:rFonts w:hint="eastAsia" w:ascii="仿宋_GB2312" w:hAnsi="仿宋_GB2312" w:eastAsia="仿宋_GB2312" w:cs="仿宋_GB2312"/>
          <w:color w:val="auto"/>
          <w:sz w:val="32"/>
          <w:szCs w:val="32"/>
          <w:lang w:val="en-US" w:eastAsia="zh-CN"/>
        </w:rPr>
        <w:t>6次。</w:t>
      </w:r>
      <w:r>
        <w:rPr>
          <w:rFonts w:hint="eastAsia" w:ascii="仿宋_GB2312" w:hAnsi="仿宋_GB2312" w:eastAsia="仿宋_GB2312" w:cs="仿宋_GB2312"/>
          <w:sz w:val="32"/>
          <w:szCs w:val="32"/>
          <w:lang w:val="en-US" w:eastAsia="zh-CN"/>
        </w:rPr>
        <w:t>组织观看“光影铸魂”电影党课及警示教育片12次、开展“五溪先锋”党员志愿活动20次。加强结对共建，开展各类帮扶共建活动10余次。组织全体干部职工赴安江农校开展“争做一粒好种子”主题党日活动，提升党性修养和廉洁意识，争做信念坚定、求真务实、为民服务的好种子。</w:t>
      </w:r>
    </w:p>
    <w:p>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val="0"/>
          <w:bCs w:val="0"/>
          <w:kern w:val="2"/>
          <w:sz w:val="32"/>
          <w:szCs w:val="32"/>
          <w:lang w:val="en-US" w:eastAsia="zh-CN" w:bidi="ar-SA"/>
        </w:rPr>
        <w:t>（5）常态长效强化作风建设。</w:t>
      </w:r>
      <w:r>
        <w:rPr>
          <w:rFonts w:hint="eastAsia" w:ascii="仿宋_GB2312" w:hAnsi="仿宋_GB2312" w:eastAsia="仿宋_GB2312" w:cs="仿宋_GB2312"/>
          <w:sz w:val="32"/>
          <w:szCs w:val="32"/>
          <w:lang w:val="en-US" w:eastAsia="zh-CN"/>
        </w:rPr>
        <w:t>坚定贯彻新时代党的群众路线，全面落实“四下基层”制度，深入开展“走找想促”活动，聚焦群众急难愁盼，积极上报调研信息12条。减少发文频次,科学精准考核，持续为基层减负赋能。</w:t>
      </w:r>
    </w:p>
    <w:p>
      <w:pPr>
        <w:keepNext w:val="0"/>
        <w:keepLines w:val="0"/>
        <w:pageBreakBefore w:val="0"/>
        <w:widowControl w:val="0"/>
        <w:pBdr>
          <w:bottom w:val="single" w:color="FFFFFF" w:sz="4" w:space="31"/>
        </w:pBdr>
        <w:tabs>
          <w:tab w:val="left" w:pos="3360"/>
        </w:tabs>
        <w:kinsoku/>
        <w:wordWrap/>
        <w:overflowPunct/>
        <w:topLinePunct w:val="0"/>
        <w:autoSpaceDE/>
        <w:autoSpaceDN/>
        <w:bidi w:val="0"/>
        <w:adjustRightInd/>
        <w:snapToGrid/>
        <w:spacing w:line="580" w:lineRule="exact"/>
        <w:ind w:leftChars="0" w:firstLine="640" w:firstLineChars="200"/>
        <w:textAlignment w:val="auto"/>
        <w:outlineLvl w:val="9"/>
        <w:rPr>
          <w:rFonts w:hint="eastAsia" w:ascii="仿宋_GB2312" w:hAnsi="仿宋_GB2312" w:eastAsia="仿宋_GB2312" w:cs="仿宋_GB2312"/>
          <w:color w:val="auto"/>
          <w:kern w:val="0"/>
          <w:sz w:val="32"/>
          <w:szCs w:val="32"/>
          <w:lang w:val="en-US" w:eastAsia="zh-CN"/>
        </w:rPr>
      </w:pPr>
      <w:r>
        <w:rPr>
          <w:rFonts w:hint="eastAsia" w:ascii="楷体_GB2312" w:hAnsi="楷体_GB2312" w:eastAsia="楷体_GB2312" w:cs="楷体_GB2312"/>
          <w:b w:val="0"/>
          <w:bCs w:val="0"/>
          <w:kern w:val="2"/>
          <w:sz w:val="32"/>
          <w:szCs w:val="32"/>
          <w:lang w:val="en-US" w:eastAsia="zh-CN" w:bidi="ar-SA"/>
        </w:rPr>
        <w:t>（6）严格落实意识形态和网络意识形态工作责任制。</w:t>
      </w:r>
      <w:r>
        <w:rPr>
          <w:rFonts w:hint="eastAsia" w:ascii="仿宋_GB2312" w:hAnsi="仿宋_GB2312" w:eastAsia="仿宋_GB2312" w:cs="仿宋_GB2312"/>
          <w:color w:val="auto"/>
          <w:kern w:val="0"/>
          <w:sz w:val="32"/>
          <w:szCs w:val="32"/>
          <w:lang w:val="en-US" w:eastAsia="zh-CN"/>
        </w:rPr>
        <w:t>成立意识形态和网络意识形态工作领导小组，全面落实党组主体责任，突出党组书记第一责任人责任，压实班子成员“一岗双责”，明确意识形态专干１人。全年召开党组会议3次、意识形态风险研判会4次，专题研究意识形态工作，及时发现解决全市民宗意识形态领域苗头性、倾向性问题。坚持管防用并举、各方面联动，安排3名业务骨干组建民宗系统网评员队伍，动态监看全市涉民宗领域意识形态舆情风险，并及时向市委网信办报告，牢牢掌握网络意识形态工作主导权，释放互联网“最大正能量”。</w:t>
      </w:r>
    </w:p>
    <w:p>
      <w:pPr>
        <w:keepNext w:val="0"/>
        <w:keepLines w:val="0"/>
        <w:pageBreakBefore w:val="0"/>
        <w:widowControl w:val="0"/>
        <w:pBdr>
          <w:bottom w:val="single" w:color="FFFFFF" w:sz="4" w:space="31"/>
        </w:pBdr>
        <w:tabs>
          <w:tab w:val="left" w:pos="3360"/>
        </w:tabs>
        <w:kinsoku/>
        <w:wordWrap/>
        <w:overflowPunct/>
        <w:topLinePunct w:val="0"/>
        <w:autoSpaceDE/>
        <w:autoSpaceDN/>
        <w:bidi w:val="0"/>
        <w:adjustRightInd/>
        <w:snapToGrid/>
        <w:spacing w:line="580" w:lineRule="exact"/>
        <w:ind w:leftChars="0" w:firstLine="640" w:firstLineChars="200"/>
        <w:textAlignment w:val="auto"/>
        <w:outlineLvl w:val="9"/>
        <w:rPr>
          <w:rFonts w:hint="eastAsia" w:ascii="黑体" w:hAnsi="黑体" w:eastAsia="黑体" w:cs="黑体"/>
          <w:b w:val="0"/>
          <w:kern w:val="2"/>
          <w:sz w:val="32"/>
          <w:szCs w:val="32"/>
          <w:lang w:val="en-US" w:eastAsia="zh-CN" w:bidi="ar-SA"/>
        </w:rPr>
      </w:pPr>
      <w:r>
        <w:rPr>
          <w:rFonts w:hint="eastAsia" w:ascii="黑体" w:hAnsi="黑体" w:eastAsia="黑体" w:cs="黑体"/>
          <w:b w:val="0"/>
          <w:kern w:val="2"/>
          <w:sz w:val="32"/>
          <w:szCs w:val="32"/>
          <w:lang w:val="en-US" w:eastAsia="zh-CN" w:bidi="ar-SA"/>
        </w:rPr>
        <w:t>5、严格选人用人，干部队伍建设彰显新风貌</w:t>
      </w:r>
    </w:p>
    <w:p>
      <w:pPr>
        <w:keepNext w:val="0"/>
        <w:keepLines w:val="0"/>
        <w:pageBreakBefore w:val="0"/>
        <w:widowControl w:val="0"/>
        <w:pBdr>
          <w:bottom w:val="single" w:color="FFFFFF" w:sz="4" w:space="31"/>
        </w:pBdr>
        <w:tabs>
          <w:tab w:val="left" w:pos="3360"/>
        </w:tabs>
        <w:kinsoku/>
        <w:wordWrap/>
        <w:overflowPunct/>
        <w:topLinePunct w:val="0"/>
        <w:autoSpaceDE/>
        <w:autoSpaceDN/>
        <w:bidi w:val="0"/>
        <w:adjustRightInd/>
        <w:snapToGrid/>
        <w:spacing w:line="580" w:lineRule="exact"/>
        <w:ind w:leftChars="0" w:firstLine="640" w:firstLineChars="200"/>
        <w:textAlignment w:val="auto"/>
        <w:outlineLvl w:val="9"/>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树立正确用人导向，注重实干实效，畅通晋升渠道。其中，向市委推荐副处级领导实职（原军转市管干部，调往市供销社）1人，晋升四级调研员１人，晋升一级主任科员2人（其中1人拟进一步使用为正科级领导），晋升1名90后年轻干部为副科长，科室负责人轮岗4人，调出干部1人。新安置退伍士官1人。</w:t>
      </w:r>
    </w:p>
    <w:p>
      <w:pPr>
        <w:keepNext w:val="0"/>
        <w:keepLines w:val="0"/>
        <w:pageBreakBefore w:val="0"/>
        <w:widowControl w:val="0"/>
        <w:pBdr>
          <w:bottom w:val="single" w:color="FFFFFF" w:sz="4" w:space="31"/>
        </w:pBdr>
        <w:tabs>
          <w:tab w:val="left" w:pos="3360"/>
        </w:tabs>
        <w:kinsoku/>
        <w:wordWrap/>
        <w:overflowPunct/>
        <w:topLinePunct w:val="0"/>
        <w:autoSpaceDE/>
        <w:autoSpaceDN/>
        <w:bidi w:val="0"/>
        <w:adjustRightInd/>
        <w:snapToGrid/>
        <w:spacing w:line="580" w:lineRule="exact"/>
        <w:ind w:leftChars="0" w:firstLine="640" w:firstLineChars="200"/>
        <w:textAlignment w:val="auto"/>
        <w:outlineLvl w:val="9"/>
        <w:rPr>
          <w:rFonts w:hint="eastAsia" w:ascii="黑体" w:hAnsi="黑体" w:eastAsia="黑体" w:cs="黑体"/>
          <w:b w:val="0"/>
          <w:kern w:val="2"/>
          <w:sz w:val="32"/>
          <w:szCs w:val="32"/>
          <w:lang w:val="en-US" w:eastAsia="zh-CN" w:bidi="ar-SA"/>
        </w:rPr>
      </w:pPr>
      <w:r>
        <w:rPr>
          <w:rFonts w:hint="eastAsia" w:ascii="黑体" w:hAnsi="黑体" w:eastAsia="黑体" w:cs="黑体"/>
          <w:b w:val="0"/>
          <w:kern w:val="2"/>
          <w:sz w:val="32"/>
          <w:szCs w:val="32"/>
          <w:lang w:val="en-US" w:eastAsia="zh-CN" w:bidi="ar-SA"/>
        </w:rPr>
        <w:t>6、树牢大局意识，稳步有序推进各项工作</w:t>
      </w:r>
    </w:p>
    <w:p>
      <w:pPr>
        <w:keepNext w:val="0"/>
        <w:keepLines w:val="0"/>
        <w:pageBreakBefore w:val="0"/>
        <w:widowControl w:val="0"/>
        <w:pBdr>
          <w:bottom w:val="single" w:color="FFFFFF" w:sz="4" w:space="31"/>
        </w:pBdr>
        <w:tabs>
          <w:tab w:val="left" w:pos="3360"/>
        </w:tabs>
        <w:kinsoku/>
        <w:wordWrap/>
        <w:overflowPunct/>
        <w:topLinePunct w:val="0"/>
        <w:autoSpaceDE/>
        <w:autoSpaceDN/>
        <w:bidi w:val="0"/>
        <w:adjustRightInd/>
        <w:snapToGrid/>
        <w:spacing w:line="580" w:lineRule="exact"/>
        <w:ind w:leftChars="0" w:firstLine="640" w:firstLineChars="200"/>
        <w:textAlignment w:val="auto"/>
        <w:outlineLvl w:val="9"/>
        <w:rPr>
          <w:rFonts w:hint="eastAsia" w:ascii="仿宋_GB2312" w:hAnsi="仿宋_GB2312" w:eastAsia="仿宋_GB2312" w:cs="仿宋_GB2312"/>
          <w:color w:val="auto"/>
          <w:spacing w:val="0"/>
          <w:kern w:val="0"/>
          <w:sz w:val="32"/>
          <w:szCs w:val="32"/>
          <w:lang w:val="en-US" w:eastAsia="zh-CN" w:bidi="ar-SA"/>
        </w:rPr>
      </w:pPr>
      <w:r>
        <w:rPr>
          <w:rFonts w:hint="eastAsia" w:ascii="仿宋_GB2312" w:hAnsi="仿宋_GB2312" w:eastAsia="仿宋_GB2312" w:cs="仿宋_GB2312"/>
          <w:color w:val="auto"/>
          <w:spacing w:val="0"/>
          <w:kern w:val="0"/>
          <w:sz w:val="32"/>
          <w:szCs w:val="32"/>
          <w:lang w:val="en-US" w:eastAsia="zh-CN" w:bidi="ar-SA"/>
        </w:rPr>
        <w:t>统筹抓好</w:t>
      </w:r>
      <w:r>
        <w:rPr>
          <w:rFonts w:hint="eastAsia" w:ascii="仿宋_GB2312" w:hAnsi="仿宋_GB2312" w:eastAsia="仿宋_GB2312" w:cs="仿宋_GB2312"/>
          <w:b/>
          <w:bCs/>
          <w:color w:val="auto"/>
          <w:spacing w:val="0"/>
          <w:kern w:val="0"/>
          <w:sz w:val="32"/>
          <w:szCs w:val="32"/>
          <w:lang w:val="en-US" w:eastAsia="zh-CN" w:bidi="ar-SA"/>
        </w:rPr>
        <w:t>统一战线、平安建设、政府化债、保密工作、统计监督</w:t>
      </w:r>
      <w:r>
        <w:rPr>
          <w:rFonts w:hint="eastAsia" w:ascii="仿宋_GB2312" w:hAnsi="仿宋_GB2312" w:eastAsia="仿宋_GB2312" w:cs="仿宋_GB2312"/>
          <w:color w:val="auto"/>
          <w:spacing w:val="0"/>
          <w:kern w:val="0"/>
          <w:sz w:val="32"/>
          <w:szCs w:val="32"/>
          <w:lang w:val="en-US" w:eastAsia="zh-CN" w:bidi="ar-SA"/>
        </w:rPr>
        <w:t>等各项工作。深入学习贯彻习近平总书记关于做好新时代党的统一战线工作的重要思想，加强与党外人士的团结联系，努力汇集力量、凝聚人心。严格落实平安建设工作责任，确保民族宗教领域安全稳定。严格落实政府债务化解各项措施。扎实履行保密工作责任，严守保密制度，杜绝失密泄密问题发生。自觉接受统计监督，确保统计数据及时准确、真实可靠。</w:t>
      </w:r>
    </w:p>
    <w:p>
      <w:pPr>
        <w:keepNext w:val="0"/>
        <w:keepLines w:val="0"/>
        <w:pageBreakBefore w:val="0"/>
        <w:widowControl w:val="0"/>
        <w:pBdr>
          <w:bottom w:val="single" w:color="FFFFFF" w:sz="4" w:space="31"/>
        </w:pBdr>
        <w:tabs>
          <w:tab w:val="left" w:pos="3360"/>
        </w:tabs>
        <w:kinsoku/>
        <w:wordWrap/>
        <w:overflowPunct/>
        <w:topLinePunct w:val="0"/>
        <w:autoSpaceDE/>
        <w:autoSpaceDN/>
        <w:bidi w:val="0"/>
        <w:adjustRightInd/>
        <w:snapToGrid/>
        <w:spacing w:line="580" w:lineRule="exact"/>
        <w:ind w:leftChars="0" w:firstLine="640" w:firstLineChars="200"/>
        <w:textAlignment w:val="auto"/>
        <w:outlineLvl w:val="9"/>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一年来，各项工作虽然取得了一定成绩，但是与市委、市政府要求和群众期待相比，还存在一些差距。如虽然成功创建全国民族团结进步示范区，但是民族团结进步宣传教育和示范创建活动开展不平衡、不充分，全域创建、全员参与上有待巩固提升；基层党建工作还没有形成可复制可推广的经验；作风建设还需持续深化等等。对于这些问题，市民宗局党组班子将在今后的工作中认真加以解决，努力推动全市民族宗教工作高质量发展，为深入实施“五新四城”战略、加快建安排中国式现代化新怀化作出更大贡献。</w:t>
      </w:r>
    </w:p>
    <w:p>
      <w:pPr>
        <w:spacing w:line="600" w:lineRule="exact"/>
        <w:ind w:firstLine="640" w:firstLineChars="200"/>
        <w:rPr>
          <w:rFonts w:hint="eastAsia" w:ascii="楷体_GB2312" w:hAnsi="仿宋" w:eastAsia="楷体_GB2312"/>
          <w:b/>
          <w:sz w:val="32"/>
          <w:szCs w:val="32"/>
        </w:rPr>
      </w:pPr>
    </w:p>
    <w:p>
      <w:pPr>
        <w:pBdr>
          <w:bottom w:val="single" w:color="FFFFFF" w:sz="4" w:space="31"/>
        </w:pBdr>
        <w:tabs>
          <w:tab w:val="left" w:pos="3360"/>
        </w:tabs>
        <w:spacing w:line="560" w:lineRule="exact"/>
        <w:ind w:firstLine="640" w:firstLineChars="200"/>
        <w:rPr>
          <w:rFonts w:hint="eastAsia" w:ascii="楷体" w:hAnsi="楷体" w:eastAsia="楷体" w:cs="楷体"/>
          <w:b/>
          <w:bCs/>
          <w:sz w:val="32"/>
          <w:szCs w:val="32"/>
        </w:rPr>
      </w:pPr>
      <w:r>
        <w:rPr>
          <w:rFonts w:hint="eastAsia" w:ascii="楷体" w:hAnsi="楷体" w:eastAsia="楷体" w:cs="楷体"/>
          <w:b/>
          <w:bCs/>
          <w:sz w:val="32"/>
          <w:szCs w:val="32"/>
          <w:lang w:eastAsia="zh-CN"/>
        </w:rPr>
        <w:t>（三）</w:t>
      </w:r>
      <w:r>
        <w:rPr>
          <w:rFonts w:hint="eastAsia" w:ascii="楷体" w:hAnsi="楷体" w:eastAsia="楷体" w:cs="楷体"/>
          <w:b/>
          <w:bCs/>
          <w:sz w:val="32"/>
          <w:szCs w:val="32"/>
        </w:rPr>
        <w:t>存在的问题及原因分析</w:t>
      </w:r>
    </w:p>
    <w:p>
      <w:pPr>
        <w:pBdr>
          <w:bottom w:val="single" w:color="FFFFFF" w:sz="4" w:space="31"/>
        </w:pBdr>
        <w:tabs>
          <w:tab w:val="left" w:pos="3360"/>
        </w:tabs>
        <w:spacing w:line="56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rPr>
        <w:t>存在的问题：我市的</w:t>
      </w:r>
      <w:r>
        <w:rPr>
          <w:rFonts w:hint="eastAsia" w:ascii="仿宋_GB2312" w:hAnsi="仿宋_GB2312" w:eastAsia="仿宋_GB2312" w:cs="仿宋_GB2312"/>
          <w:kern w:val="0"/>
          <w:sz w:val="32"/>
          <w:szCs w:val="32"/>
          <w:lang w:eastAsia="zh-CN"/>
        </w:rPr>
        <w:t>少数</w:t>
      </w:r>
      <w:r>
        <w:rPr>
          <w:rFonts w:hint="eastAsia" w:ascii="仿宋_GB2312" w:hAnsi="仿宋_GB2312" w:eastAsia="仿宋_GB2312" w:cs="仿宋_GB2312"/>
          <w:kern w:val="0"/>
          <w:sz w:val="32"/>
          <w:szCs w:val="32"/>
        </w:rPr>
        <w:t>民族工作经费是根据中共怀化市委、怀化市人民政府《关于进一步加强民族工作加快少数民族和民族地区经济社会发展的意见》（怀发</w:t>
      </w:r>
      <w:r>
        <w:rPr>
          <w:rFonts w:ascii="仿宋_GB2312" w:hAnsi="仿宋_GB2312" w:eastAsia="仿宋_GB2312" w:cs="仿宋_GB2312"/>
          <w:kern w:val="0"/>
          <w:sz w:val="32"/>
          <w:szCs w:val="32"/>
        </w:rPr>
        <w:t>[2006]11</w:t>
      </w:r>
      <w:r>
        <w:rPr>
          <w:rFonts w:hint="eastAsia" w:ascii="仿宋_GB2312" w:hAnsi="仿宋_GB2312" w:eastAsia="仿宋_GB2312" w:cs="仿宋_GB2312"/>
          <w:kern w:val="0"/>
          <w:sz w:val="32"/>
          <w:szCs w:val="32"/>
        </w:rPr>
        <w:t>号）文件精神，“按照少数民族人口人数不低于每人一元的标准安排民族工作经费，并形成正常增长机制”的要求，由市财政预算安排。问题是在遇到重大民族活动时，由于市</w:t>
      </w:r>
      <w:r>
        <w:rPr>
          <w:rFonts w:hint="eastAsia" w:ascii="仿宋_GB2312" w:hAnsi="仿宋_GB2312" w:eastAsia="仿宋_GB2312" w:cs="仿宋_GB2312"/>
          <w:kern w:val="0"/>
          <w:sz w:val="32"/>
          <w:szCs w:val="32"/>
          <w:lang w:eastAsia="zh-CN"/>
        </w:rPr>
        <w:t>级</w:t>
      </w:r>
      <w:r>
        <w:rPr>
          <w:rFonts w:hint="eastAsia" w:ascii="仿宋_GB2312" w:hAnsi="仿宋_GB2312" w:eastAsia="仿宋_GB2312" w:cs="仿宋_GB2312"/>
          <w:kern w:val="0"/>
          <w:sz w:val="32"/>
          <w:szCs w:val="32"/>
        </w:rPr>
        <w:t>财政经费紧张，会出现从这笔专项经费中调剂部分资金到</w:t>
      </w:r>
      <w:r>
        <w:rPr>
          <w:rFonts w:hint="eastAsia" w:ascii="仿宋_GB2312" w:hAnsi="仿宋_GB2312" w:eastAsia="仿宋_GB2312" w:cs="仿宋_GB2312"/>
          <w:kern w:val="0"/>
          <w:sz w:val="32"/>
          <w:szCs w:val="32"/>
          <w:lang w:eastAsia="zh-CN"/>
        </w:rPr>
        <w:t>重大民族</w:t>
      </w:r>
      <w:r>
        <w:rPr>
          <w:rFonts w:hint="eastAsia" w:ascii="仿宋_GB2312" w:hAnsi="仿宋_GB2312" w:eastAsia="仿宋_GB2312" w:cs="仿宋_GB2312"/>
          <w:kern w:val="0"/>
          <w:sz w:val="32"/>
          <w:szCs w:val="32"/>
        </w:rPr>
        <w:t>活动中</w:t>
      </w:r>
      <w:r>
        <w:rPr>
          <w:rFonts w:hint="eastAsia" w:ascii="仿宋_GB2312" w:hAnsi="仿宋_GB2312" w:eastAsia="仿宋_GB2312" w:cs="仿宋_GB2312"/>
          <w:kern w:val="0"/>
          <w:sz w:val="32"/>
          <w:szCs w:val="32"/>
          <w:lang w:eastAsia="zh-CN"/>
        </w:rPr>
        <w:t>使用</w:t>
      </w:r>
      <w:r>
        <w:rPr>
          <w:rFonts w:hint="eastAsia" w:ascii="仿宋_GB2312" w:hAnsi="仿宋_GB2312" w:eastAsia="仿宋_GB2312" w:cs="仿宋_GB2312"/>
          <w:kern w:val="0"/>
          <w:sz w:val="32"/>
          <w:szCs w:val="32"/>
        </w:rPr>
        <w:t>，这样无形中减少了我们的民族工作经费，影响了部分民族工作的顺利完成。</w:t>
      </w:r>
      <w:r>
        <w:rPr>
          <w:rFonts w:hint="eastAsia" w:ascii="仿宋_GB2312" w:hAnsi="仿宋_GB2312" w:eastAsia="仿宋_GB2312" w:cs="仿宋_GB2312"/>
          <w:kern w:val="0"/>
          <w:sz w:val="32"/>
          <w:szCs w:val="32"/>
          <w:lang w:eastAsia="zh-CN"/>
        </w:rPr>
        <w:t>同时，由于少数民族工作专项经费的使用主要是依据省财政厅，省民宗委文件湘财行【</w:t>
      </w:r>
      <w:r>
        <w:rPr>
          <w:rFonts w:hint="eastAsia" w:ascii="仿宋_GB2312" w:hAnsi="仿宋_GB2312" w:eastAsia="仿宋_GB2312" w:cs="仿宋_GB2312"/>
          <w:kern w:val="0"/>
          <w:sz w:val="32"/>
          <w:szCs w:val="32"/>
          <w:lang w:val="en-US" w:eastAsia="zh-CN"/>
        </w:rPr>
        <w:t>2019】13号文件制定的《怀化市市级民族宗教专项资金管理办法》，在该项专项资金的具体使用过程中，使用范围比较笼统，从而导致该项资金的监督检查过程中，不同的检查者都有不同的解读和标准，从而导致有挤占少数民族工作专项经费的嫌疑。导致存在没有专款专用少数民族工作专项经费的风险。</w:t>
      </w:r>
    </w:p>
    <w:p>
      <w:pPr>
        <w:pStyle w:val="2"/>
      </w:pPr>
    </w:p>
    <w:p>
      <w:pPr>
        <w:pStyle w:val="15"/>
        <w:jc w:val="center"/>
        <w:rPr>
          <w:sz w:val="72"/>
          <w:szCs w:val="72"/>
        </w:rPr>
      </w:pPr>
    </w:p>
    <w:p>
      <w:pPr>
        <w:pStyle w:val="15"/>
        <w:jc w:val="center"/>
        <w:rPr>
          <w:sz w:val="72"/>
          <w:szCs w:val="72"/>
        </w:rPr>
      </w:pPr>
    </w:p>
    <w:p>
      <w:pPr>
        <w:pStyle w:val="15"/>
        <w:jc w:val="both"/>
        <w:rPr>
          <w:rFonts w:hint="eastAsia" w:ascii="方正小标宋_GBK" w:hAnsi="方正小标宋_GBK" w:eastAsia="方正小标宋_GBK" w:cs="方正小标宋_GBK"/>
          <w:sz w:val="72"/>
          <w:szCs w:val="72"/>
        </w:rPr>
      </w:pPr>
    </w:p>
    <w:p>
      <w:pPr>
        <w:pStyle w:val="15"/>
        <w:jc w:val="center"/>
        <w:rPr>
          <w:rFonts w:hint="eastAsia" w:ascii="方正小标宋_GBK" w:hAnsi="方正小标宋_GBK" w:eastAsia="方正小标宋_GBK" w:cs="方正小标宋_GBK"/>
          <w:sz w:val="72"/>
          <w:szCs w:val="72"/>
        </w:rPr>
      </w:pPr>
    </w:p>
    <w:p>
      <w:pPr>
        <w:pStyle w:val="15"/>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pPr>
        <w:jc w:val="center"/>
        <w:rPr>
          <w:rFonts w:hint="eastAsia" w:ascii="方正小标宋_GBK" w:hAnsi="方正小标宋_GBK" w:eastAsia="方正小标宋_GBK" w:cs="方正小标宋_GBK"/>
          <w:color w:val="000000"/>
          <w:kern w:val="0"/>
          <w:sz w:val="70"/>
          <w:szCs w:val="70"/>
        </w:rPr>
      </w:pPr>
    </w:p>
    <w:p>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pPr>
        <w:pBdr>
          <w:bottom w:val="single" w:color="FFFFFF" w:sz="4" w:space="31"/>
        </w:pBdr>
        <w:tabs>
          <w:tab w:val="left" w:pos="3360"/>
        </w:tabs>
        <w:spacing w:line="560" w:lineRule="exact"/>
        <w:ind w:firstLine="640" w:firstLineChars="200"/>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rPr>
        <w:t>一、</w:t>
      </w:r>
      <w:r>
        <w:rPr>
          <w:rFonts w:hint="eastAsia" w:ascii="仿宋_GB2312" w:hAnsi="仿宋_GB2312" w:eastAsia="仿宋_GB2312" w:cs="仿宋_GB2312"/>
          <w:kern w:val="0"/>
          <w:sz w:val="32"/>
          <w:szCs w:val="32"/>
          <w:lang w:eastAsia="zh-CN"/>
        </w:rPr>
        <w:t>民族宗教事务：</w:t>
      </w:r>
      <w:r>
        <w:rPr>
          <w:rFonts w:hint="eastAsia" w:ascii="仿宋_GB2312" w:hAnsi="仿宋_GB2312" w:eastAsia="仿宋_GB2312" w:cs="仿宋_GB2312"/>
          <w:kern w:val="0"/>
          <w:sz w:val="32"/>
          <w:szCs w:val="32"/>
          <w:lang w:val="en-US" w:eastAsia="zh-CN"/>
        </w:rPr>
        <w:t>贯彻执行规、党和国家及省委、省政府关于民族宗教工作的方针、政策和法律、法规章，组织开展民族宗教重大问题和民族地区经济社会发展方面问题的调查研究工作，提出有关民族宗教工作的建议。</w:t>
      </w:r>
    </w:p>
    <w:p>
      <w:pPr>
        <w:pBdr>
          <w:bottom w:val="single" w:color="FFFFFF" w:sz="4" w:space="31"/>
        </w:pBdr>
        <w:tabs>
          <w:tab w:val="left" w:pos="3360"/>
        </w:tabs>
        <w:spacing w:line="56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eastAsia="zh-CN"/>
        </w:rPr>
        <w:t>二</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机关运行经费：为保障行政单位（包括参照公务员法管理的事业单位）运行，用一般公共预算拨款安排用于购买货物和服务的各项资金，包括办公及印刷费、电费、差旅费、福利费、日常维修费、办公用房用水费、办公用房取暖费、办公用房物业管理费、公务用车运行维护费以及其他费用。</w:t>
      </w:r>
    </w:p>
    <w:p>
      <w:pPr>
        <w:pBdr>
          <w:bottom w:val="single" w:color="FFFFFF" w:sz="4" w:space="31"/>
        </w:pBdr>
        <w:tabs>
          <w:tab w:val="left" w:pos="3360"/>
        </w:tabs>
        <w:spacing w:line="56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三、“三公经费”：纳入财政预算管理的“三公”经费，是指用于一般公共预算拨款安排的公务接待费、公务用车购置费及运行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pPr>
        <w:pBdr>
          <w:bottom w:val="single" w:color="FFFFFF" w:sz="4" w:space="31"/>
        </w:pBdr>
        <w:tabs>
          <w:tab w:val="left" w:pos="3360"/>
        </w:tabs>
        <w:spacing w:line="560" w:lineRule="exact"/>
        <w:ind w:firstLine="640" w:firstLineChars="200"/>
        <w:rPr>
          <w:rFonts w:hint="eastAsia" w:ascii="仿宋_GB2312" w:hAnsi="仿宋_GB2312" w:eastAsia="仿宋_GB2312" w:cs="仿宋_GB2312"/>
          <w:kern w:val="0"/>
          <w:sz w:val="32"/>
          <w:szCs w:val="32"/>
        </w:rPr>
      </w:pPr>
    </w:p>
    <w:p>
      <w:pPr>
        <w:pBdr>
          <w:bottom w:val="single" w:color="FFFFFF" w:sz="4" w:space="31"/>
        </w:pBdr>
        <w:tabs>
          <w:tab w:val="left" w:pos="3360"/>
        </w:tabs>
        <w:spacing w:line="560" w:lineRule="exact"/>
        <w:ind w:firstLine="640" w:firstLineChars="200"/>
        <w:rPr>
          <w:rFonts w:hint="eastAsia" w:ascii="仿宋_GB2312" w:hAnsi="仿宋_GB2312" w:eastAsia="仿宋_GB2312" w:cs="仿宋_GB2312"/>
          <w:kern w:val="0"/>
          <w:sz w:val="32"/>
          <w:szCs w:val="32"/>
        </w:rPr>
      </w:pPr>
    </w:p>
    <w:p>
      <w:pPr>
        <w:pBdr>
          <w:bottom w:val="single" w:color="FFFFFF" w:sz="4" w:space="31"/>
        </w:pBdr>
        <w:tabs>
          <w:tab w:val="left" w:pos="3360"/>
        </w:tabs>
        <w:spacing w:line="560" w:lineRule="exact"/>
        <w:ind w:firstLine="640" w:firstLineChars="200"/>
        <w:rPr>
          <w:rFonts w:hint="eastAsia" w:ascii="仿宋_GB2312" w:hAnsi="仿宋_GB2312" w:eastAsia="仿宋_GB2312" w:cs="仿宋_GB2312"/>
          <w:kern w:val="0"/>
          <w:sz w:val="32"/>
          <w:szCs w:val="32"/>
        </w:rPr>
      </w:pPr>
    </w:p>
    <w:p>
      <w:pPr>
        <w:pStyle w:val="15"/>
        <w:jc w:val="center"/>
        <w:rPr>
          <w:sz w:val="72"/>
          <w:szCs w:val="72"/>
        </w:rPr>
      </w:pPr>
    </w:p>
    <w:p>
      <w:pPr>
        <w:pStyle w:val="15"/>
        <w:jc w:val="center"/>
        <w:rPr>
          <w:rFonts w:hint="eastAsia" w:ascii="方正小标宋_GBK" w:hAnsi="方正小标宋_GBK" w:eastAsia="方正小标宋_GBK" w:cs="方正小标宋_GBK"/>
          <w:sz w:val="72"/>
          <w:szCs w:val="72"/>
        </w:rPr>
      </w:pPr>
    </w:p>
    <w:p>
      <w:pPr>
        <w:pStyle w:val="15"/>
        <w:jc w:val="center"/>
        <w:rPr>
          <w:rFonts w:hint="eastAsia" w:ascii="方正小标宋_GBK" w:hAnsi="方正小标宋_GBK" w:eastAsia="方正小标宋_GBK" w:cs="方正小标宋_GBK"/>
          <w:sz w:val="72"/>
          <w:szCs w:val="72"/>
        </w:rPr>
      </w:pPr>
    </w:p>
    <w:p>
      <w:pPr>
        <w:pStyle w:val="15"/>
        <w:jc w:val="center"/>
        <w:rPr>
          <w:rFonts w:hint="eastAsia" w:ascii="方正小标宋_GBK" w:hAnsi="方正小标宋_GBK" w:eastAsia="方正小标宋_GBK" w:cs="方正小标宋_GBK"/>
          <w:sz w:val="72"/>
          <w:szCs w:val="72"/>
        </w:rPr>
      </w:pPr>
    </w:p>
    <w:p>
      <w:pPr>
        <w:pStyle w:val="15"/>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w:t>
      </w:r>
      <w:r>
        <w:rPr>
          <w:rFonts w:hint="eastAsia" w:ascii="方正小标宋_GBK" w:hAnsi="方正小标宋_GBK" w:eastAsia="方正小标宋_GBK" w:cs="方正小标宋_GBK"/>
          <w:sz w:val="72"/>
          <w:szCs w:val="72"/>
          <w:lang w:eastAsia="zh-CN"/>
        </w:rPr>
        <w:t>五</w:t>
      </w:r>
      <w:r>
        <w:rPr>
          <w:rFonts w:hint="eastAsia" w:ascii="方正小标宋_GBK" w:hAnsi="方正小标宋_GBK" w:eastAsia="方正小标宋_GBK" w:cs="方正小标宋_GBK"/>
          <w:sz w:val="72"/>
          <w:szCs w:val="72"/>
        </w:rPr>
        <w:t>部分</w:t>
      </w:r>
    </w:p>
    <w:p>
      <w:pPr>
        <w:pStyle w:val="15"/>
        <w:jc w:val="center"/>
        <w:rPr>
          <w:rFonts w:hint="eastAsia" w:ascii="方正小标宋_GBK" w:hAnsi="方正小标宋_GBK" w:eastAsia="方正小标宋_GBK" w:cs="方正小标宋_GBK"/>
          <w:sz w:val="70"/>
          <w:szCs w:val="70"/>
        </w:rPr>
      </w:pPr>
    </w:p>
    <w:p>
      <w:pPr>
        <w:pStyle w:val="15"/>
        <w:jc w:val="center"/>
        <w:rPr>
          <w:rFonts w:hint="eastAsia" w:eastAsia="黑体"/>
          <w:sz w:val="72"/>
          <w:szCs w:val="72"/>
          <w:lang w:eastAsia="zh-CN"/>
        </w:rPr>
      </w:pPr>
      <w:r>
        <w:rPr>
          <w:rFonts w:hint="eastAsia" w:ascii="方正小标宋_GBK" w:hAnsi="方正小标宋_GBK" w:eastAsia="方正小标宋_GBK" w:cs="方正小标宋_GBK"/>
          <w:sz w:val="70"/>
          <w:szCs w:val="70"/>
          <w:lang w:eastAsia="zh-CN"/>
        </w:rPr>
        <w:t>附</w:t>
      </w:r>
      <w:r>
        <w:rPr>
          <w:rFonts w:hint="eastAsia" w:ascii="方正小标宋_GBK" w:hAnsi="方正小标宋_GBK" w:eastAsia="方正小标宋_GBK" w:cs="方正小标宋_GBK"/>
          <w:sz w:val="70"/>
          <w:szCs w:val="70"/>
          <w:lang w:val="en-US" w:eastAsia="zh-CN"/>
        </w:rPr>
        <w:t xml:space="preserve"> </w:t>
      </w:r>
      <w:r>
        <w:rPr>
          <w:rFonts w:hint="eastAsia" w:ascii="方正小标宋_GBK" w:hAnsi="方正小标宋_GBK" w:eastAsia="方正小标宋_GBK" w:cs="方正小标宋_GBK"/>
          <w:sz w:val="70"/>
          <w:szCs w:val="70"/>
          <w:lang w:eastAsia="zh-CN"/>
        </w:rPr>
        <w:t>件</w:t>
      </w:r>
    </w:p>
    <w:p>
      <w:pPr>
        <w:rPr>
          <w:sz w:val="72"/>
          <w:szCs w:val="72"/>
        </w:rPr>
      </w:pPr>
      <w:r>
        <w:rPr>
          <w:sz w:val="72"/>
          <w:szCs w:val="72"/>
        </w:rPr>
        <w:br w:type="page"/>
      </w:r>
    </w:p>
    <w:p>
      <w:pPr>
        <w:pStyle w:val="15"/>
        <w:keepNext w:val="0"/>
        <w:keepLines w:val="0"/>
        <w:pageBreakBefore w:val="0"/>
        <w:widowControl w:val="0"/>
        <w:kinsoku/>
        <w:wordWrap/>
        <w:overflowPunct/>
        <w:topLinePunct w:val="0"/>
        <w:bidi w:val="0"/>
        <w:snapToGrid/>
        <w:spacing w:line="600" w:lineRule="exact"/>
        <w:jc w:val="left"/>
        <w:textAlignment w:val="auto"/>
        <w:rPr>
          <w:rFonts w:hint="eastAsia" w:ascii="Times New Roman" w:hAnsi="Times New Roman" w:eastAsia="仿宋_GB2312"/>
          <w:sz w:val="32"/>
          <w:szCs w:val="32"/>
          <w:lang w:val="en-US" w:eastAsia="zh-CN"/>
        </w:rPr>
      </w:pPr>
    </w:p>
    <w:p>
      <w:pPr>
        <w:pStyle w:val="15"/>
        <w:keepNext w:val="0"/>
        <w:keepLines w:val="0"/>
        <w:pageBreakBefore w:val="0"/>
        <w:widowControl w:val="0"/>
        <w:kinsoku/>
        <w:wordWrap/>
        <w:overflowPunct/>
        <w:topLinePunct w:val="0"/>
        <w:bidi w:val="0"/>
        <w:snapToGrid/>
        <w:spacing w:line="600" w:lineRule="exact"/>
        <w:jc w:val="left"/>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附件一、2024年度决算公开表</w:t>
      </w:r>
    </w:p>
    <w:p>
      <w:pPr>
        <w:pStyle w:val="15"/>
        <w:keepNext w:val="0"/>
        <w:keepLines w:val="0"/>
        <w:pageBreakBefore w:val="0"/>
        <w:widowControl w:val="0"/>
        <w:kinsoku/>
        <w:wordWrap/>
        <w:overflowPunct/>
        <w:topLinePunct w:val="0"/>
        <w:bidi w:val="0"/>
        <w:snapToGrid/>
        <w:spacing w:line="600" w:lineRule="exact"/>
        <w:jc w:val="left"/>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附件二、2024年度整体支出绩效自评报告</w:t>
      </w:r>
    </w:p>
    <w:p>
      <w:pPr>
        <w:pStyle w:val="15"/>
        <w:keepNext w:val="0"/>
        <w:keepLines w:val="0"/>
        <w:pageBreakBefore w:val="0"/>
        <w:widowControl w:val="0"/>
        <w:kinsoku/>
        <w:wordWrap/>
        <w:overflowPunct/>
        <w:topLinePunct w:val="0"/>
        <w:bidi w:val="0"/>
        <w:snapToGrid/>
        <w:spacing w:line="600" w:lineRule="exact"/>
        <w:jc w:val="left"/>
        <w:textAlignment w:val="auto"/>
        <w:rPr>
          <w:rFonts w:hint="eastAsia" w:ascii="Times New Roman" w:hAnsi="Times New Roman" w:eastAsia="仿宋_GB2312"/>
          <w:sz w:val="32"/>
          <w:szCs w:val="32"/>
          <w:lang w:val="en-US" w:eastAsia="zh-CN"/>
        </w:rPr>
      </w:pPr>
    </w:p>
    <w:sectPr>
      <w:pgSz w:w="11906" w:h="16838"/>
      <w:pgMar w:top="1417" w:right="1417" w:bottom="1417" w:left="1417" w:header="851" w:footer="992" w:gutter="0"/>
      <w:cols w:space="0" w:num="1"/>
      <w:rtlGutter w:val="0"/>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CC"/>
    <w:family w:val="roman"/>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_GBK">
    <w:panose1 w:val="02000000000000000000"/>
    <w:charset w:val="86"/>
    <w:family w:val="script"/>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华文中宋">
    <w:altName w:val="汉仪中宋简"/>
    <w:panose1 w:val="02010600040101010101"/>
    <w:charset w:val="86"/>
    <w:family w:val="auto"/>
    <w:pitch w:val="default"/>
    <w:sig w:usb0="00000000" w:usb1="00000000" w:usb2="00000000" w:usb3="00000000" w:csb0="0004009F" w:csb1="DFD7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汉仪中宋简">
    <w:panose1 w:val="02010609000101010101"/>
    <w:charset w:val="86"/>
    <w:family w:val="auto"/>
    <w:pitch w:val="default"/>
    <w:sig w:usb0="00000001" w:usb1="080E0800" w:usb2="00000002"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256993"/>
    <w:multiLevelType w:val="singleLevel"/>
    <w:tmpl w:val="9C256993"/>
    <w:lvl w:ilvl="0" w:tentative="0">
      <w:start w:val="9"/>
      <w:numFmt w:val="chineseCounting"/>
      <w:suff w:val="nothing"/>
      <w:lvlText w:val="%1、"/>
      <w:lvlJc w:val="left"/>
      <w:pPr>
        <w:ind w:left="641" w:leftChars="0" w:firstLine="0" w:firstLineChars="0"/>
      </w:pPr>
      <w:rPr>
        <w:rFonts w:hint="eastAsia"/>
      </w:rPr>
    </w:lvl>
  </w:abstractNum>
  <w:abstractNum w:abstractNumId="1">
    <w:nsid w:val="F5202C56"/>
    <w:multiLevelType w:val="singleLevel"/>
    <w:tmpl w:val="F5202C56"/>
    <w:lvl w:ilvl="0" w:tentative="0">
      <w:start w:val="1"/>
      <w:numFmt w:val="decimal"/>
      <w:lvlText w:val="%1."/>
      <w:lvlJc w:val="left"/>
      <w:pPr>
        <w:tabs>
          <w:tab w:val="left" w:pos="312"/>
        </w:tabs>
        <w:ind w:left="662" w:leftChars="0" w:firstLine="0" w:firstLineChars="0"/>
      </w:pPr>
    </w:lvl>
  </w:abstractNum>
  <w:abstractNum w:abstractNumId="2">
    <w:nsid w:val="1EE07157"/>
    <w:multiLevelType w:val="singleLevel"/>
    <w:tmpl w:val="1EE07157"/>
    <w:lvl w:ilvl="0" w:tentative="0">
      <w:start w:val="1"/>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false"/>
  <w:bordersDoNotSurroundFooter w:val="false"/>
  <w:documentProtection w:enforcement="0"/>
  <w:defaultTabStop w:val="420"/>
  <w:drawingGridHorizontalSpacing w:val="105"/>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NmMjI0OThmZDk3N2Q4MGYxNDk1YWZlMzE3NGRjYWY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71B68"/>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16E2F6B"/>
    <w:rsid w:val="01C25065"/>
    <w:rsid w:val="01DE1773"/>
    <w:rsid w:val="01E274B5"/>
    <w:rsid w:val="01F972F9"/>
    <w:rsid w:val="020B07BA"/>
    <w:rsid w:val="02671768"/>
    <w:rsid w:val="028440C8"/>
    <w:rsid w:val="02A8425B"/>
    <w:rsid w:val="03060F81"/>
    <w:rsid w:val="03226D0C"/>
    <w:rsid w:val="032A0A86"/>
    <w:rsid w:val="03323B24"/>
    <w:rsid w:val="0334789D"/>
    <w:rsid w:val="037552DC"/>
    <w:rsid w:val="039D7B38"/>
    <w:rsid w:val="03C52BEB"/>
    <w:rsid w:val="03D01ADF"/>
    <w:rsid w:val="043400F8"/>
    <w:rsid w:val="04877EA0"/>
    <w:rsid w:val="04EA6DAD"/>
    <w:rsid w:val="057E12A3"/>
    <w:rsid w:val="05A607FA"/>
    <w:rsid w:val="05AC22B4"/>
    <w:rsid w:val="06336531"/>
    <w:rsid w:val="0659586C"/>
    <w:rsid w:val="06A92350"/>
    <w:rsid w:val="07A34FF1"/>
    <w:rsid w:val="07B436A2"/>
    <w:rsid w:val="08327641"/>
    <w:rsid w:val="08485B98"/>
    <w:rsid w:val="08D17094"/>
    <w:rsid w:val="08DC4C5E"/>
    <w:rsid w:val="09212671"/>
    <w:rsid w:val="096609CC"/>
    <w:rsid w:val="0A2950EA"/>
    <w:rsid w:val="0A4A209B"/>
    <w:rsid w:val="0A870BFA"/>
    <w:rsid w:val="0A894972"/>
    <w:rsid w:val="0A8C6210"/>
    <w:rsid w:val="0A925A60"/>
    <w:rsid w:val="0A9B6453"/>
    <w:rsid w:val="0AAC68B2"/>
    <w:rsid w:val="0AB1211B"/>
    <w:rsid w:val="0AB95C60"/>
    <w:rsid w:val="0ACA0AE6"/>
    <w:rsid w:val="0AE918B4"/>
    <w:rsid w:val="0BD75BB1"/>
    <w:rsid w:val="0C061FF2"/>
    <w:rsid w:val="0C474AE5"/>
    <w:rsid w:val="0CB32919"/>
    <w:rsid w:val="0CBE1A2C"/>
    <w:rsid w:val="0CCF0636"/>
    <w:rsid w:val="0CF40132"/>
    <w:rsid w:val="0D08498F"/>
    <w:rsid w:val="0D1150F2"/>
    <w:rsid w:val="0D1500CF"/>
    <w:rsid w:val="0D166265"/>
    <w:rsid w:val="0D3B3F1D"/>
    <w:rsid w:val="0D3B5DD1"/>
    <w:rsid w:val="0DC61A39"/>
    <w:rsid w:val="0DC70CA1"/>
    <w:rsid w:val="0DC8391D"/>
    <w:rsid w:val="0DFE7425"/>
    <w:rsid w:val="0E3177FA"/>
    <w:rsid w:val="0E67321C"/>
    <w:rsid w:val="0EA7186A"/>
    <w:rsid w:val="0EB67D00"/>
    <w:rsid w:val="0EC046DA"/>
    <w:rsid w:val="0EEA5BFB"/>
    <w:rsid w:val="0F0200FA"/>
    <w:rsid w:val="0F1B1BCB"/>
    <w:rsid w:val="0F3F7CF5"/>
    <w:rsid w:val="0F4470B9"/>
    <w:rsid w:val="0F8C6CB2"/>
    <w:rsid w:val="0FF706CE"/>
    <w:rsid w:val="1033163B"/>
    <w:rsid w:val="10741C20"/>
    <w:rsid w:val="10A83678"/>
    <w:rsid w:val="10AC760C"/>
    <w:rsid w:val="10CD7582"/>
    <w:rsid w:val="10F845FF"/>
    <w:rsid w:val="113849FC"/>
    <w:rsid w:val="114415F3"/>
    <w:rsid w:val="118539B9"/>
    <w:rsid w:val="11A46535"/>
    <w:rsid w:val="11BA7B07"/>
    <w:rsid w:val="11BF451F"/>
    <w:rsid w:val="11D30BC8"/>
    <w:rsid w:val="121216F1"/>
    <w:rsid w:val="12260CF8"/>
    <w:rsid w:val="122B27B2"/>
    <w:rsid w:val="125C296C"/>
    <w:rsid w:val="12A04F4F"/>
    <w:rsid w:val="12A444E8"/>
    <w:rsid w:val="13392CAD"/>
    <w:rsid w:val="134A4EBA"/>
    <w:rsid w:val="137D2B9A"/>
    <w:rsid w:val="13E23345"/>
    <w:rsid w:val="14172FEE"/>
    <w:rsid w:val="14217BBB"/>
    <w:rsid w:val="145C3ADA"/>
    <w:rsid w:val="14A423A8"/>
    <w:rsid w:val="14A5684C"/>
    <w:rsid w:val="14C12F5A"/>
    <w:rsid w:val="14D40EDF"/>
    <w:rsid w:val="15023C9F"/>
    <w:rsid w:val="158D108E"/>
    <w:rsid w:val="15B64A89"/>
    <w:rsid w:val="15D54F0F"/>
    <w:rsid w:val="15EB4154"/>
    <w:rsid w:val="16013F56"/>
    <w:rsid w:val="16026B55"/>
    <w:rsid w:val="169A1CB5"/>
    <w:rsid w:val="16B9038D"/>
    <w:rsid w:val="16C60CFC"/>
    <w:rsid w:val="179D1A5D"/>
    <w:rsid w:val="17FD074D"/>
    <w:rsid w:val="18153CE9"/>
    <w:rsid w:val="182C4B8E"/>
    <w:rsid w:val="182E0907"/>
    <w:rsid w:val="18644328"/>
    <w:rsid w:val="18C15C1F"/>
    <w:rsid w:val="18CA3F10"/>
    <w:rsid w:val="18F51424"/>
    <w:rsid w:val="192B12EA"/>
    <w:rsid w:val="19EB584F"/>
    <w:rsid w:val="1A11228E"/>
    <w:rsid w:val="1A367F46"/>
    <w:rsid w:val="1A450189"/>
    <w:rsid w:val="1A840CB2"/>
    <w:rsid w:val="1ADC0AEE"/>
    <w:rsid w:val="1B373F76"/>
    <w:rsid w:val="1B71409F"/>
    <w:rsid w:val="1B746F78"/>
    <w:rsid w:val="1B851185"/>
    <w:rsid w:val="1BAA0BEC"/>
    <w:rsid w:val="1BBE01F3"/>
    <w:rsid w:val="1BE834C2"/>
    <w:rsid w:val="1C406E5A"/>
    <w:rsid w:val="1C744D56"/>
    <w:rsid w:val="1C76287C"/>
    <w:rsid w:val="1C8568B5"/>
    <w:rsid w:val="1C8F393E"/>
    <w:rsid w:val="1CA13D9D"/>
    <w:rsid w:val="1CAA0D35"/>
    <w:rsid w:val="1CD75A11"/>
    <w:rsid w:val="1D5E1808"/>
    <w:rsid w:val="1D5F1562"/>
    <w:rsid w:val="1D97DEFF"/>
    <w:rsid w:val="1DF3687A"/>
    <w:rsid w:val="1DFF72E5"/>
    <w:rsid w:val="1E454BFC"/>
    <w:rsid w:val="1E74728F"/>
    <w:rsid w:val="1EB12291"/>
    <w:rsid w:val="1EC71AB5"/>
    <w:rsid w:val="1EFC6F07"/>
    <w:rsid w:val="1F525822"/>
    <w:rsid w:val="1F7E2174"/>
    <w:rsid w:val="1FA3607E"/>
    <w:rsid w:val="1FC85AE5"/>
    <w:rsid w:val="1FE65F6B"/>
    <w:rsid w:val="200D12EE"/>
    <w:rsid w:val="20765541"/>
    <w:rsid w:val="207B4905"/>
    <w:rsid w:val="212136FE"/>
    <w:rsid w:val="21311468"/>
    <w:rsid w:val="213827F6"/>
    <w:rsid w:val="213F1DD6"/>
    <w:rsid w:val="21417A0D"/>
    <w:rsid w:val="2181419D"/>
    <w:rsid w:val="21C41378"/>
    <w:rsid w:val="221B014E"/>
    <w:rsid w:val="221D73A0"/>
    <w:rsid w:val="22317971"/>
    <w:rsid w:val="229D3630"/>
    <w:rsid w:val="22A068A5"/>
    <w:rsid w:val="22F15352"/>
    <w:rsid w:val="231F3C6E"/>
    <w:rsid w:val="23563407"/>
    <w:rsid w:val="238A729B"/>
    <w:rsid w:val="23B663A8"/>
    <w:rsid w:val="23C12F77"/>
    <w:rsid w:val="240864B0"/>
    <w:rsid w:val="24125580"/>
    <w:rsid w:val="244A4D1A"/>
    <w:rsid w:val="24507E57"/>
    <w:rsid w:val="24861ACA"/>
    <w:rsid w:val="24930B81"/>
    <w:rsid w:val="249E6E14"/>
    <w:rsid w:val="24C53A3F"/>
    <w:rsid w:val="24DD793C"/>
    <w:rsid w:val="24E567F1"/>
    <w:rsid w:val="25056E93"/>
    <w:rsid w:val="253F23A5"/>
    <w:rsid w:val="256A6060"/>
    <w:rsid w:val="256E5B51"/>
    <w:rsid w:val="25BC1C48"/>
    <w:rsid w:val="25C96113"/>
    <w:rsid w:val="25D074A1"/>
    <w:rsid w:val="25E1520A"/>
    <w:rsid w:val="261849A4"/>
    <w:rsid w:val="26265313"/>
    <w:rsid w:val="262B46D7"/>
    <w:rsid w:val="26404627"/>
    <w:rsid w:val="268C786C"/>
    <w:rsid w:val="26F251F5"/>
    <w:rsid w:val="27005B64"/>
    <w:rsid w:val="27806CA5"/>
    <w:rsid w:val="27B0758A"/>
    <w:rsid w:val="28447CD2"/>
    <w:rsid w:val="28716051"/>
    <w:rsid w:val="28A10C81"/>
    <w:rsid w:val="28BC3D0D"/>
    <w:rsid w:val="28C8445F"/>
    <w:rsid w:val="28F96D0F"/>
    <w:rsid w:val="29970CD3"/>
    <w:rsid w:val="29D37560"/>
    <w:rsid w:val="2A2B739C"/>
    <w:rsid w:val="2A351FC9"/>
    <w:rsid w:val="2AE3353D"/>
    <w:rsid w:val="2B057BED"/>
    <w:rsid w:val="2B0A5203"/>
    <w:rsid w:val="2B277B63"/>
    <w:rsid w:val="2B32787F"/>
    <w:rsid w:val="2B386ED4"/>
    <w:rsid w:val="2B7E174D"/>
    <w:rsid w:val="2B830B12"/>
    <w:rsid w:val="2B88534B"/>
    <w:rsid w:val="2BFF482F"/>
    <w:rsid w:val="2C106849"/>
    <w:rsid w:val="2C1D4AC2"/>
    <w:rsid w:val="2C332538"/>
    <w:rsid w:val="2CEE645F"/>
    <w:rsid w:val="2D236108"/>
    <w:rsid w:val="2D2C76B3"/>
    <w:rsid w:val="2D340315"/>
    <w:rsid w:val="2D4D40DF"/>
    <w:rsid w:val="2D581983"/>
    <w:rsid w:val="2D5C161A"/>
    <w:rsid w:val="2D9D235F"/>
    <w:rsid w:val="2DA51213"/>
    <w:rsid w:val="2DC0604D"/>
    <w:rsid w:val="2DCF3691"/>
    <w:rsid w:val="2E6F4729"/>
    <w:rsid w:val="2E840E29"/>
    <w:rsid w:val="2F566C69"/>
    <w:rsid w:val="2F5F53F2"/>
    <w:rsid w:val="2F68074A"/>
    <w:rsid w:val="2F8135BA"/>
    <w:rsid w:val="2FA03AA3"/>
    <w:rsid w:val="2FC242FE"/>
    <w:rsid w:val="2FDF85B8"/>
    <w:rsid w:val="2FFFEE04"/>
    <w:rsid w:val="305331A8"/>
    <w:rsid w:val="307D0225"/>
    <w:rsid w:val="31822A1E"/>
    <w:rsid w:val="31D0734A"/>
    <w:rsid w:val="31DD71CE"/>
    <w:rsid w:val="31EA5AB8"/>
    <w:rsid w:val="32140715"/>
    <w:rsid w:val="32624DE6"/>
    <w:rsid w:val="328529C5"/>
    <w:rsid w:val="32892923"/>
    <w:rsid w:val="32F01C5A"/>
    <w:rsid w:val="33356B95"/>
    <w:rsid w:val="337634BA"/>
    <w:rsid w:val="34125129"/>
    <w:rsid w:val="34BB131C"/>
    <w:rsid w:val="34DB19BE"/>
    <w:rsid w:val="34DF85B0"/>
    <w:rsid w:val="34E402F2"/>
    <w:rsid w:val="34E84BC6"/>
    <w:rsid w:val="351A24E7"/>
    <w:rsid w:val="35926521"/>
    <w:rsid w:val="35A3428A"/>
    <w:rsid w:val="363629EF"/>
    <w:rsid w:val="36965B9D"/>
    <w:rsid w:val="36F54FB9"/>
    <w:rsid w:val="37060F75"/>
    <w:rsid w:val="374C2700"/>
    <w:rsid w:val="37503F9E"/>
    <w:rsid w:val="378E7F9A"/>
    <w:rsid w:val="37FC5ED4"/>
    <w:rsid w:val="388C7258"/>
    <w:rsid w:val="38AA3B82"/>
    <w:rsid w:val="38DB1F8D"/>
    <w:rsid w:val="39842625"/>
    <w:rsid w:val="398B5761"/>
    <w:rsid w:val="3A1C0AAF"/>
    <w:rsid w:val="3A377697"/>
    <w:rsid w:val="3A577D39"/>
    <w:rsid w:val="3A856654"/>
    <w:rsid w:val="3A9255D1"/>
    <w:rsid w:val="3AF61300"/>
    <w:rsid w:val="3B023801"/>
    <w:rsid w:val="3B5D137F"/>
    <w:rsid w:val="3B8F36BC"/>
    <w:rsid w:val="3BA50630"/>
    <w:rsid w:val="3BCE402B"/>
    <w:rsid w:val="3C2D6FA3"/>
    <w:rsid w:val="3C300842"/>
    <w:rsid w:val="3C504A40"/>
    <w:rsid w:val="3C6779A4"/>
    <w:rsid w:val="3C964B49"/>
    <w:rsid w:val="3D485717"/>
    <w:rsid w:val="3D595B76"/>
    <w:rsid w:val="3DDC2A2F"/>
    <w:rsid w:val="3E043D34"/>
    <w:rsid w:val="3E0C2BE9"/>
    <w:rsid w:val="3E282882"/>
    <w:rsid w:val="3E642A25"/>
    <w:rsid w:val="3E7775F2"/>
    <w:rsid w:val="3E832EAB"/>
    <w:rsid w:val="3F177A97"/>
    <w:rsid w:val="3F285800"/>
    <w:rsid w:val="3F292D06"/>
    <w:rsid w:val="3F300ECA"/>
    <w:rsid w:val="3F36616F"/>
    <w:rsid w:val="3FD11DF9"/>
    <w:rsid w:val="4013200C"/>
    <w:rsid w:val="409A0980"/>
    <w:rsid w:val="409C46F8"/>
    <w:rsid w:val="40D07EFD"/>
    <w:rsid w:val="40F0234E"/>
    <w:rsid w:val="411029F0"/>
    <w:rsid w:val="411A185C"/>
    <w:rsid w:val="41270465"/>
    <w:rsid w:val="414F5C54"/>
    <w:rsid w:val="41824E23"/>
    <w:rsid w:val="41B65345"/>
    <w:rsid w:val="41EC6FB9"/>
    <w:rsid w:val="421F738E"/>
    <w:rsid w:val="425E3E67"/>
    <w:rsid w:val="42676E57"/>
    <w:rsid w:val="42907FB1"/>
    <w:rsid w:val="42976F25"/>
    <w:rsid w:val="42A81132"/>
    <w:rsid w:val="42BC2E2F"/>
    <w:rsid w:val="42F75C15"/>
    <w:rsid w:val="42F8395B"/>
    <w:rsid w:val="4332090C"/>
    <w:rsid w:val="434370AD"/>
    <w:rsid w:val="435B703A"/>
    <w:rsid w:val="43DE66AE"/>
    <w:rsid w:val="442C5D93"/>
    <w:rsid w:val="442E38B9"/>
    <w:rsid w:val="44472BCC"/>
    <w:rsid w:val="444D412E"/>
    <w:rsid w:val="44775260"/>
    <w:rsid w:val="44A6643B"/>
    <w:rsid w:val="44A92F3F"/>
    <w:rsid w:val="44CB3B1B"/>
    <w:rsid w:val="44DE304C"/>
    <w:rsid w:val="453C3DB3"/>
    <w:rsid w:val="454113CA"/>
    <w:rsid w:val="45EF0E26"/>
    <w:rsid w:val="45FE550D"/>
    <w:rsid w:val="460348D1"/>
    <w:rsid w:val="46144D30"/>
    <w:rsid w:val="47817AA9"/>
    <w:rsid w:val="478832E0"/>
    <w:rsid w:val="47AC3472"/>
    <w:rsid w:val="47CB7671"/>
    <w:rsid w:val="47F00E85"/>
    <w:rsid w:val="480F1C53"/>
    <w:rsid w:val="484E277B"/>
    <w:rsid w:val="491C4628"/>
    <w:rsid w:val="491FF225"/>
    <w:rsid w:val="49725FF6"/>
    <w:rsid w:val="49B605D8"/>
    <w:rsid w:val="49B77CC7"/>
    <w:rsid w:val="4A62250E"/>
    <w:rsid w:val="4A930919"/>
    <w:rsid w:val="4AD14F9E"/>
    <w:rsid w:val="4ADF76BB"/>
    <w:rsid w:val="4B101F6A"/>
    <w:rsid w:val="4B166E55"/>
    <w:rsid w:val="4B49547C"/>
    <w:rsid w:val="4B533C05"/>
    <w:rsid w:val="4B756271"/>
    <w:rsid w:val="4B810772"/>
    <w:rsid w:val="4B8D6271"/>
    <w:rsid w:val="4C1C66ED"/>
    <w:rsid w:val="4C820C46"/>
    <w:rsid w:val="4C883D82"/>
    <w:rsid w:val="4C8B585D"/>
    <w:rsid w:val="4CA566E2"/>
    <w:rsid w:val="4D36558C"/>
    <w:rsid w:val="4DA16EA9"/>
    <w:rsid w:val="4DA42E3E"/>
    <w:rsid w:val="4DD454D1"/>
    <w:rsid w:val="4E6C395B"/>
    <w:rsid w:val="4F195165"/>
    <w:rsid w:val="4F622668"/>
    <w:rsid w:val="4FFD214C"/>
    <w:rsid w:val="501047BA"/>
    <w:rsid w:val="503F6AA0"/>
    <w:rsid w:val="506F7733"/>
    <w:rsid w:val="50811214"/>
    <w:rsid w:val="50C07F8E"/>
    <w:rsid w:val="50CF01D2"/>
    <w:rsid w:val="50D92DFE"/>
    <w:rsid w:val="50F639B0"/>
    <w:rsid w:val="5100482F"/>
    <w:rsid w:val="51013BE0"/>
    <w:rsid w:val="511107EA"/>
    <w:rsid w:val="514C1822"/>
    <w:rsid w:val="51660D7B"/>
    <w:rsid w:val="519F5DF6"/>
    <w:rsid w:val="51A76A58"/>
    <w:rsid w:val="51AB479B"/>
    <w:rsid w:val="51D05FAF"/>
    <w:rsid w:val="520A0FB2"/>
    <w:rsid w:val="521C5F69"/>
    <w:rsid w:val="522956BF"/>
    <w:rsid w:val="52666914"/>
    <w:rsid w:val="52CA0C50"/>
    <w:rsid w:val="52CA50F4"/>
    <w:rsid w:val="52EA4E4F"/>
    <w:rsid w:val="53852DC9"/>
    <w:rsid w:val="53B37216"/>
    <w:rsid w:val="53E67D0C"/>
    <w:rsid w:val="53ED0AB4"/>
    <w:rsid w:val="53F266B1"/>
    <w:rsid w:val="53FC752F"/>
    <w:rsid w:val="54482775"/>
    <w:rsid w:val="545509EE"/>
    <w:rsid w:val="5462276D"/>
    <w:rsid w:val="54AE00FE"/>
    <w:rsid w:val="54B75204"/>
    <w:rsid w:val="54FE2E33"/>
    <w:rsid w:val="550F5041"/>
    <w:rsid w:val="551E7032"/>
    <w:rsid w:val="552A59CF"/>
    <w:rsid w:val="5552317F"/>
    <w:rsid w:val="55A25EB5"/>
    <w:rsid w:val="55A57753"/>
    <w:rsid w:val="55C776C9"/>
    <w:rsid w:val="55F06C20"/>
    <w:rsid w:val="5697353F"/>
    <w:rsid w:val="56B62190"/>
    <w:rsid w:val="56C87B9D"/>
    <w:rsid w:val="572A43B4"/>
    <w:rsid w:val="5777D4F5"/>
    <w:rsid w:val="578C4726"/>
    <w:rsid w:val="58507E4A"/>
    <w:rsid w:val="58597CE7"/>
    <w:rsid w:val="5875340D"/>
    <w:rsid w:val="58917F16"/>
    <w:rsid w:val="58BE3005"/>
    <w:rsid w:val="58F509F1"/>
    <w:rsid w:val="58FA7DB6"/>
    <w:rsid w:val="590649AC"/>
    <w:rsid w:val="59260BAB"/>
    <w:rsid w:val="594352B9"/>
    <w:rsid w:val="59973856"/>
    <w:rsid w:val="59DD8326"/>
    <w:rsid w:val="59E06FAB"/>
    <w:rsid w:val="5A04713E"/>
    <w:rsid w:val="5A3D61AC"/>
    <w:rsid w:val="5A4A47BE"/>
    <w:rsid w:val="5A4A4974"/>
    <w:rsid w:val="5A7A2F5C"/>
    <w:rsid w:val="5AD22D98"/>
    <w:rsid w:val="5B12588A"/>
    <w:rsid w:val="5B417F1E"/>
    <w:rsid w:val="5B661732"/>
    <w:rsid w:val="5BE70AC5"/>
    <w:rsid w:val="5C78171D"/>
    <w:rsid w:val="5C7A0C9B"/>
    <w:rsid w:val="5C859AE6"/>
    <w:rsid w:val="5CBF734C"/>
    <w:rsid w:val="5CC901CB"/>
    <w:rsid w:val="5D663C6C"/>
    <w:rsid w:val="5DC0337C"/>
    <w:rsid w:val="5DEF592A"/>
    <w:rsid w:val="5E2D6537"/>
    <w:rsid w:val="5E317DD6"/>
    <w:rsid w:val="5E435D5B"/>
    <w:rsid w:val="5E4C4C10"/>
    <w:rsid w:val="5E781EA8"/>
    <w:rsid w:val="5EC549C2"/>
    <w:rsid w:val="5EC944B2"/>
    <w:rsid w:val="5FC6BB1E"/>
    <w:rsid w:val="5FEA2932"/>
    <w:rsid w:val="5FF720F1"/>
    <w:rsid w:val="60206354"/>
    <w:rsid w:val="60996106"/>
    <w:rsid w:val="60C43183"/>
    <w:rsid w:val="6142054C"/>
    <w:rsid w:val="61477910"/>
    <w:rsid w:val="61572249"/>
    <w:rsid w:val="615F2EAC"/>
    <w:rsid w:val="6166248C"/>
    <w:rsid w:val="618D2BD0"/>
    <w:rsid w:val="61F564A8"/>
    <w:rsid w:val="620A1069"/>
    <w:rsid w:val="620D6DAC"/>
    <w:rsid w:val="62233ED9"/>
    <w:rsid w:val="622D2FAA"/>
    <w:rsid w:val="62402CDD"/>
    <w:rsid w:val="62960B4F"/>
    <w:rsid w:val="6300421A"/>
    <w:rsid w:val="630A6E47"/>
    <w:rsid w:val="63464323"/>
    <w:rsid w:val="634652D1"/>
    <w:rsid w:val="63544401"/>
    <w:rsid w:val="635D341B"/>
    <w:rsid w:val="63D7141F"/>
    <w:rsid w:val="644545DB"/>
    <w:rsid w:val="649C7F73"/>
    <w:rsid w:val="65085608"/>
    <w:rsid w:val="653B778C"/>
    <w:rsid w:val="65711400"/>
    <w:rsid w:val="65C7198A"/>
    <w:rsid w:val="65C9123C"/>
    <w:rsid w:val="66B23A7E"/>
    <w:rsid w:val="66CD2666"/>
    <w:rsid w:val="67A535E2"/>
    <w:rsid w:val="67E45EB9"/>
    <w:rsid w:val="67FF5C0B"/>
    <w:rsid w:val="681A18DB"/>
    <w:rsid w:val="68242759"/>
    <w:rsid w:val="68420E31"/>
    <w:rsid w:val="685F3791"/>
    <w:rsid w:val="68D423D1"/>
    <w:rsid w:val="68FB5BB0"/>
    <w:rsid w:val="697B284D"/>
    <w:rsid w:val="69AA1338"/>
    <w:rsid w:val="6A75729C"/>
    <w:rsid w:val="6AA71193"/>
    <w:rsid w:val="6ACF3BA3"/>
    <w:rsid w:val="6B6317EA"/>
    <w:rsid w:val="6B8F0831"/>
    <w:rsid w:val="6BCD297E"/>
    <w:rsid w:val="6BE04788"/>
    <w:rsid w:val="6C0409ED"/>
    <w:rsid w:val="6C164AAF"/>
    <w:rsid w:val="6C4909E0"/>
    <w:rsid w:val="6C507FC1"/>
    <w:rsid w:val="6C8163CC"/>
    <w:rsid w:val="6C937EAD"/>
    <w:rsid w:val="6CB57E24"/>
    <w:rsid w:val="6CD3474E"/>
    <w:rsid w:val="6D6B4986"/>
    <w:rsid w:val="6D7D5C34"/>
    <w:rsid w:val="6D8223FC"/>
    <w:rsid w:val="6D82752C"/>
    <w:rsid w:val="6E351FF3"/>
    <w:rsid w:val="6E533D98"/>
    <w:rsid w:val="6E58315D"/>
    <w:rsid w:val="6E6E0BD2"/>
    <w:rsid w:val="6EB5235D"/>
    <w:rsid w:val="6ED749C9"/>
    <w:rsid w:val="6EFA2466"/>
    <w:rsid w:val="6EFC0924"/>
    <w:rsid w:val="6F0155A2"/>
    <w:rsid w:val="6FA32AFD"/>
    <w:rsid w:val="6FB74722"/>
    <w:rsid w:val="6FE4739E"/>
    <w:rsid w:val="6FE70C3C"/>
    <w:rsid w:val="6FEF8B7E"/>
    <w:rsid w:val="702C48A1"/>
    <w:rsid w:val="71237A52"/>
    <w:rsid w:val="713C0B14"/>
    <w:rsid w:val="716C467F"/>
    <w:rsid w:val="719E532A"/>
    <w:rsid w:val="71A6591B"/>
    <w:rsid w:val="71A861A9"/>
    <w:rsid w:val="71E73175"/>
    <w:rsid w:val="72113D4E"/>
    <w:rsid w:val="72231CD3"/>
    <w:rsid w:val="72281098"/>
    <w:rsid w:val="723924AD"/>
    <w:rsid w:val="725105EF"/>
    <w:rsid w:val="727D5888"/>
    <w:rsid w:val="73005B71"/>
    <w:rsid w:val="733C4DFB"/>
    <w:rsid w:val="737D59BA"/>
    <w:rsid w:val="73903399"/>
    <w:rsid w:val="73A3131E"/>
    <w:rsid w:val="73C44508"/>
    <w:rsid w:val="73C92407"/>
    <w:rsid w:val="74546174"/>
    <w:rsid w:val="74600FBD"/>
    <w:rsid w:val="747F7695"/>
    <w:rsid w:val="749649DF"/>
    <w:rsid w:val="74BE7A92"/>
    <w:rsid w:val="74FD4A5E"/>
    <w:rsid w:val="75B275F6"/>
    <w:rsid w:val="75EB0D5A"/>
    <w:rsid w:val="761C7166"/>
    <w:rsid w:val="76764AC8"/>
    <w:rsid w:val="76CC1D9A"/>
    <w:rsid w:val="76D17F50"/>
    <w:rsid w:val="76E063E5"/>
    <w:rsid w:val="76FA2478"/>
    <w:rsid w:val="77364257"/>
    <w:rsid w:val="777059BB"/>
    <w:rsid w:val="77901BB9"/>
    <w:rsid w:val="77996CC0"/>
    <w:rsid w:val="77C11FB8"/>
    <w:rsid w:val="77C37683"/>
    <w:rsid w:val="78780EC8"/>
    <w:rsid w:val="787943FB"/>
    <w:rsid w:val="78986F77"/>
    <w:rsid w:val="78B6564F"/>
    <w:rsid w:val="78CC4062"/>
    <w:rsid w:val="78D9133E"/>
    <w:rsid w:val="791A3E30"/>
    <w:rsid w:val="79E104AA"/>
    <w:rsid w:val="79F93A46"/>
    <w:rsid w:val="79FF515B"/>
    <w:rsid w:val="7A083C89"/>
    <w:rsid w:val="7A356A48"/>
    <w:rsid w:val="7A8B6668"/>
    <w:rsid w:val="7AB756AF"/>
    <w:rsid w:val="7B1D7C08"/>
    <w:rsid w:val="7B234AF2"/>
    <w:rsid w:val="7BC1389C"/>
    <w:rsid w:val="7BDF0A19"/>
    <w:rsid w:val="7C091F3A"/>
    <w:rsid w:val="7C2E374F"/>
    <w:rsid w:val="7C417926"/>
    <w:rsid w:val="7C5533D1"/>
    <w:rsid w:val="7C7E2532"/>
    <w:rsid w:val="7CAF2AE1"/>
    <w:rsid w:val="7CBE4AD3"/>
    <w:rsid w:val="7CDB38D7"/>
    <w:rsid w:val="7CEC5AE4"/>
    <w:rsid w:val="7D0270B5"/>
    <w:rsid w:val="7D1312C2"/>
    <w:rsid w:val="7D4A0A5C"/>
    <w:rsid w:val="7D6513F2"/>
    <w:rsid w:val="7D6E64F9"/>
    <w:rsid w:val="7DF6029C"/>
    <w:rsid w:val="7E0E1A8A"/>
    <w:rsid w:val="7E971464"/>
    <w:rsid w:val="7E9E1962"/>
    <w:rsid w:val="7E9F11B4"/>
    <w:rsid w:val="7EA61CC2"/>
    <w:rsid w:val="7ED56104"/>
    <w:rsid w:val="7F054C3B"/>
    <w:rsid w:val="7F315A30"/>
    <w:rsid w:val="7F37EC1E"/>
    <w:rsid w:val="7F601682"/>
    <w:rsid w:val="7F7DCD9D"/>
    <w:rsid w:val="7F923FF5"/>
    <w:rsid w:val="7F970A6F"/>
    <w:rsid w:val="7FC1FFF3"/>
    <w:rsid w:val="7FC69637"/>
    <w:rsid w:val="7FDF8620"/>
    <w:rsid w:val="7FFB242F"/>
    <w:rsid w:val="7FFCEB04"/>
    <w:rsid w:val="7FFD5912"/>
    <w:rsid w:val="7FFDB408"/>
    <w:rsid w:val="7FFE4EEB"/>
    <w:rsid w:val="95FB2B98"/>
    <w:rsid w:val="9A639BC2"/>
    <w:rsid w:val="9FF7D786"/>
    <w:rsid w:val="ABBFB23D"/>
    <w:rsid w:val="BBFFAEC8"/>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0"/>
    <w:pPr>
      <w:spacing w:before="100" w:beforeAutospacing="1" w:after="100" w:afterAutospacing="1"/>
      <w:jc w:val="left"/>
      <w:outlineLvl w:val="1"/>
    </w:pPr>
    <w:rPr>
      <w:rFonts w:hint="eastAsia" w:ascii="宋体" w:hAnsi="宋体" w:eastAsia="宋体" w:cs="宋体"/>
      <w:b/>
      <w:kern w:val="0"/>
      <w:sz w:val="36"/>
      <w:szCs w:val="36"/>
      <w:lang w:val="en-US" w:eastAsia="zh-CN" w:bidi="ar"/>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Body Text"/>
    <w:basedOn w:val="1"/>
    <w:qFormat/>
    <w:uiPriority w:val="1"/>
    <w:pPr>
      <w:spacing w:before="102"/>
      <w:ind w:left="112"/>
    </w:pPr>
    <w:rPr>
      <w:sz w:val="28"/>
      <w:szCs w:val="28"/>
    </w:rPr>
  </w:style>
  <w:style w:type="paragraph" w:styleId="4">
    <w:name w:val="Body Text Indent"/>
    <w:basedOn w:val="1"/>
    <w:unhideWhenUsed/>
    <w:qFormat/>
    <w:uiPriority w:val="99"/>
    <w:pPr>
      <w:widowControl/>
      <w:spacing w:after="120"/>
      <w:ind w:left="420" w:leftChars="200"/>
      <w:jc w:val="left"/>
    </w:pPr>
    <w:rPr>
      <w:rFonts w:ascii="宋体" w:hAnsi="宋体" w:eastAsia="宋体" w:cs="宋体"/>
      <w:kern w:val="0"/>
      <w:sz w:val="24"/>
    </w:rPr>
  </w:style>
  <w:style w:type="paragraph" w:styleId="5">
    <w:name w:val="Balloon Text"/>
    <w:basedOn w:val="1"/>
    <w:link w:val="17"/>
    <w:semiHidden/>
    <w:unhideWhenUsed/>
    <w:qFormat/>
    <w:uiPriority w:val="99"/>
    <w:rPr>
      <w:sz w:val="18"/>
      <w:szCs w:val="18"/>
    </w:rPr>
  </w:style>
  <w:style w:type="paragraph" w:styleId="6">
    <w:name w:val="footer"/>
    <w:basedOn w:val="1"/>
    <w:link w:val="14"/>
    <w:unhideWhenUsed/>
    <w:qFormat/>
    <w:uiPriority w:val="99"/>
    <w:pPr>
      <w:tabs>
        <w:tab w:val="center" w:pos="4153"/>
        <w:tab w:val="right" w:pos="8306"/>
      </w:tabs>
      <w:snapToGrid w:val="0"/>
      <w:jc w:val="left"/>
    </w:pPr>
    <w:rPr>
      <w:sz w:val="18"/>
      <w:szCs w:val="18"/>
    </w:rPr>
  </w:style>
  <w:style w:type="paragraph" w:styleId="7">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footnote text"/>
    <w:basedOn w:val="1"/>
    <w:next w:val="9"/>
    <w:semiHidden/>
    <w:qFormat/>
    <w:uiPriority w:val="0"/>
    <w:pPr>
      <w:snapToGrid w:val="0"/>
      <w:jc w:val="left"/>
    </w:pPr>
    <w:rPr>
      <w:sz w:val="18"/>
      <w:szCs w:val="18"/>
    </w:rPr>
  </w:style>
  <w:style w:type="paragraph" w:styleId="9">
    <w:name w:val="Body Text First Indent 2"/>
    <w:basedOn w:val="4"/>
    <w:unhideWhenUsed/>
    <w:qFormat/>
    <w:uiPriority w:val="99"/>
    <w:pPr>
      <w:ind w:firstLine="420" w:firstLineChars="200"/>
    </w:pPr>
  </w:style>
  <w:style w:type="paragraph" w:styleId="10">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customStyle="1" w:styleId="13">
    <w:name w:val="页眉 Char"/>
    <w:basedOn w:val="12"/>
    <w:link w:val="7"/>
    <w:qFormat/>
    <w:uiPriority w:val="99"/>
    <w:rPr>
      <w:sz w:val="18"/>
      <w:szCs w:val="18"/>
    </w:rPr>
  </w:style>
  <w:style w:type="character" w:customStyle="1" w:styleId="14">
    <w:name w:val="页脚 Char"/>
    <w:basedOn w:val="12"/>
    <w:link w:val="6"/>
    <w:qFormat/>
    <w:uiPriority w:val="99"/>
    <w:rPr>
      <w:sz w:val="18"/>
      <w:szCs w:val="18"/>
    </w:rPr>
  </w:style>
  <w:style w:type="paragraph" w:customStyle="1" w:styleId="15">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6">
    <w:name w:val="List Paragraph"/>
    <w:basedOn w:val="1"/>
    <w:qFormat/>
    <w:uiPriority w:val="34"/>
    <w:pPr>
      <w:ind w:firstLine="420" w:firstLineChars="200"/>
    </w:pPr>
  </w:style>
  <w:style w:type="character" w:customStyle="1" w:styleId="17">
    <w:name w:val="批注框文本 Char"/>
    <w:basedOn w:val="12"/>
    <w:link w:val="5"/>
    <w:semiHidden/>
    <w:qFormat/>
    <w:uiPriority w:val="99"/>
    <w:rPr>
      <w:sz w:val="18"/>
      <w:szCs w:val="18"/>
    </w:rPr>
  </w:style>
  <w:style w:type="character" w:customStyle="1" w:styleId="18">
    <w:name w:val="font01"/>
    <w:basedOn w:val="12"/>
    <w:qFormat/>
    <w:uiPriority w:val="0"/>
    <w:rPr>
      <w:rFonts w:hint="eastAsia" w:ascii="宋体" w:hAnsi="宋体" w:eastAsia="宋体" w:cs="宋体"/>
      <w:color w:val="000000"/>
      <w:sz w:val="22"/>
      <w:szCs w:val="22"/>
      <w:u w:val="none"/>
    </w:rPr>
  </w:style>
  <w:style w:type="character" w:customStyle="1" w:styleId="19">
    <w:name w:val="font21"/>
    <w:basedOn w:val="12"/>
    <w:qFormat/>
    <w:uiPriority w:val="0"/>
    <w:rPr>
      <w:rFonts w:hint="eastAsia" w:ascii="宋体" w:hAnsi="宋体" w:eastAsia="宋体" w:cs="宋体"/>
      <w:color w:val="000000"/>
      <w:sz w:val="24"/>
      <w:szCs w:val="24"/>
      <w:u w:val="none"/>
    </w:rPr>
  </w:style>
  <w:style w:type="character" w:customStyle="1" w:styleId="20">
    <w:name w:val="font11"/>
    <w:basedOn w:val="12"/>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43</Pages>
  <Words>2638</Words>
  <Characters>2944</Characters>
  <Lines>63</Lines>
  <Paragraphs>18</Paragraphs>
  <TotalTime>15</TotalTime>
  <ScaleCrop>false</ScaleCrop>
  <LinksUpToDate>false</LinksUpToDate>
  <CharactersWithSpaces>3119</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2020-07-08T10:32:00Z</dcterms:created>
  <dc:creator>李航 null</dc:creator>
  <cp:lastModifiedBy>user</cp:lastModifiedBy>
  <cp:lastPrinted>2024-08-08T18:20:00Z</cp:lastPrinted>
  <dcterms:modified xsi:type="dcterms:W3CDTF">2026-02-13T11:14:20Z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ICV">
    <vt:lpwstr>F62636DF99E24CD9905E1868597C60A9_12</vt:lpwstr>
  </property>
  <property fmtid="{D5CDD505-2E9C-101B-9397-08002B2CF9AE}" pid="4" name="KSOTemplateDocerSaveRecord">
    <vt:lpwstr>eyJoZGlkIjoiMDNmMjI0OThmZDk3N2Q4MGYxNDk1YWZlMzE3NGRjYWYifQ==</vt:lpwstr>
  </property>
</Properties>
</file>