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A9694B">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eastAsia" w:ascii="方正小标宋_GBK" w:hAnsi="方正小标宋_GBK" w:eastAsia="方正小标宋_GBK" w:cs="方正小标宋_GBK"/>
          <w:i w:val="0"/>
          <w:iCs w:val="0"/>
          <w:caps w:val="0"/>
          <w:color w:val="000000"/>
          <w:spacing w:val="0"/>
          <w:sz w:val="32"/>
          <w:szCs w:val="32"/>
          <w:shd w:val="clear" w:fill="FFFFFF"/>
          <w:lang w:val="en-US" w:eastAsia="zh-CN"/>
        </w:rPr>
        <w:t>附件1</w:t>
      </w:r>
    </w:p>
    <w:p w14:paraId="7F6DCAF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hint="eastAsia" w:ascii="方正小标宋_GBK" w:hAnsi="方正小标宋_GBK" w:eastAsia="方正小标宋_GBK" w:cs="方正小标宋_GBK"/>
          <w:i w:val="0"/>
          <w:iCs w:val="0"/>
          <w:caps w:val="0"/>
          <w:color w:val="000000"/>
          <w:spacing w:val="0"/>
          <w:sz w:val="24"/>
          <w:szCs w:val="24"/>
        </w:rPr>
      </w:pPr>
      <w:r>
        <w:rPr>
          <w:rFonts w:hint="eastAsia" w:ascii="方正小标宋_GBK" w:hAnsi="方正小标宋_GBK" w:eastAsia="方正小标宋_GBK" w:cs="方正小标宋_GBK"/>
          <w:i w:val="0"/>
          <w:iCs w:val="0"/>
          <w:caps w:val="0"/>
          <w:color w:val="000000"/>
          <w:spacing w:val="0"/>
          <w:sz w:val="44"/>
          <w:szCs w:val="44"/>
          <w:shd w:val="clear" w:fill="FFFFFF"/>
          <w:lang w:eastAsia="zh-CN"/>
        </w:rPr>
        <w:t>怀化市司法局</w:t>
      </w:r>
      <w:r>
        <w:rPr>
          <w:rFonts w:hint="eastAsia" w:ascii="方正小标宋_GBK" w:hAnsi="方正小标宋_GBK" w:eastAsia="方正小标宋_GBK" w:cs="方正小标宋_GBK"/>
          <w:i w:val="0"/>
          <w:iCs w:val="0"/>
          <w:caps w:val="0"/>
          <w:color w:val="000000"/>
          <w:spacing w:val="0"/>
          <w:sz w:val="44"/>
          <w:szCs w:val="44"/>
          <w:shd w:val="clear" w:fill="FFFFFF"/>
        </w:rPr>
        <w:t>部门整体支出绩效自评报告</w:t>
      </w:r>
    </w:p>
    <w:p w14:paraId="506DD86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ascii="仿宋_GB2312" w:eastAsia="仿宋_GB2312" w:cs="仿宋_GB2312"/>
          <w:i w:val="0"/>
          <w:iCs w:val="0"/>
          <w:caps w:val="0"/>
          <w:color w:val="000000"/>
          <w:spacing w:val="0"/>
          <w:sz w:val="24"/>
          <w:szCs w:val="24"/>
        </w:rPr>
      </w:pPr>
    </w:p>
    <w:p w14:paraId="02847DF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一、部门、单位基本情况</w:t>
      </w:r>
    </w:p>
    <w:p w14:paraId="342EB53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3" w:firstLineChars="200"/>
        <w:textAlignment w:val="auto"/>
        <w:rPr>
          <w:rFonts w:hint="default" w:ascii="楷体_GB2312" w:eastAsia="楷体_GB2312" w:cs="楷体_GB2312"/>
          <w:b/>
          <w:bCs/>
          <w:i w:val="0"/>
          <w:iCs w:val="0"/>
          <w:caps w:val="0"/>
          <w:color w:val="000000"/>
          <w:spacing w:val="0"/>
          <w:sz w:val="32"/>
          <w:szCs w:val="32"/>
          <w:shd w:val="clear" w:fill="FFFFFF"/>
        </w:rPr>
      </w:pPr>
      <w:r>
        <w:rPr>
          <w:rFonts w:hint="default" w:ascii="楷体_GB2312" w:eastAsia="楷体_GB2312" w:cs="楷体_GB2312"/>
          <w:b/>
          <w:bCs/>
          <w:i w:val="0"/>
          <w:iCs w:val="0"/>
          <w:caps w:val="0"/>
          <w:color w:val="000000"/>
          <w:spacing w:val="0"/>
          <w:sz w:val="32"/>
          <w:szCs w:val="32"/>
          <w:shd w:val="clear" w:fill="FFFFFF"/>
        </w:rPr>
        <w:t>（一）机构设置情况</w:t>
      </w:r>
    </w:p>
    <w:p w14:paraId="634F04CD">
      <w:pPr>
        <w:keepNext w:val="0"/>
        <w:keepLines w:val="0"/>
        <w:pageBreakBefore w:val="0"/>
        <w:widowControl w:val="0"/>
        <w:shd w:val="clear" w:color="auto" w:fill="FFFFFF"/>
        <w:kinsoku/>
        <w:wordWrap/>
        <w:overflowPunct/>
        <w:topLinePunct w:val="0"/>
        <w:autoSpaceDE/>
        <w:autoSpaceDN/>
        <w:bidi w:val="0"/>
        <w:adjustRightInd/>
        <w:spacing w:line="600" w:lineRule="exact"/>
        <w:ind w:left="0" w:leftChars="0" w:right="0" w:firstLine="632" w:firstLineChars="200"/>
        <w:jc w:val="both"/>
        <w:textAlignment w:val="auto"/>
        <w:rPr>
          <w:rFonts w:hint="default" w:ascii="仿宋" w:hAnsi="仿宋" w:eastAsia="仿宋" w:cs="Times New Roman"/>
          <w:color w:val="auto"/>
          <w:spacing w:val="-2"/>
          <w:sz w:val="32"/>
          <w:szCs w:val="32"/>
          <w:lang w:val="en-US" w:eastAsia="zh-CN"/>
        </w:rPr>
      </w:pPr>
      <w:r>
        <w:rPr>
          <w:rFonts w:hint="eastAsia" w:ascii="仿宋" w:hAnsi="仿宋" w:eastAsia="仿宋" w:cs="Times New Roman"/>
          <w:color w:val="auto"/>
          <w:spacing w:val="-2"/>
          <w:sz w:val="32"/>
          <w:szCs w:val="32"/>
          <w:lang w:val="en-US" w:eastAsia="zh-CN"/>
        </w:rPr>
        <w:t>怀化司法局作为一级部门预算单位，内设17个科室：</w:t>
      </w:r>
      <w:r>
        <w:rPr>
          <w:rFonts w:ascii="仿宋" w:hAnsi="仿宋" w:eastAsia="仿宋" w:cs="Times New Roman"/>
          <w:color w:val="auto"/>
          <w:spacing w:val="-2"/>
          <w:sz w:val="32"/>
          <w:szCs w:val="32"/>
        </w:rPr>
        <w:t>市委全面依法治市委员会办公室秘书科、办公室、</w:t>
      </w:r>
      <w:r>
        <w:rPr>
          <w:rFonts w:hint="eastAsia" w:ascii="仿宋" w:hAnsi="仿宋" w:eastAsia="仿宋" w:cs="Times New Roman"/>
          <w:color w:val="auto"/>
          <w:spacing w:val="-2"/>
          <w:sz w:val="32"/>
          <w:szCs w:val="32"/>
        </w:rPr>
        <w:t>法治调研督察与政策法规科、立法科(规范性文件管理与法律事务科）、戒毒工作管理科、社区矫正管理科（市社区矫正管理局）、行政复议与应诉</w:t>
      </w:r>
      <w:r>
        <w:rPr>
          <w:rFonts w:hint="eastAsia" w:ascii="仿宋" w:hAnsi="仿宋" w:eastAsia="仿宋" w:cs="Times New Roman"/>
          <w:color w:val="auto"/>
          <w:spacing w:val="-2"/>
          <w:sz w:val="32"/>
          <w:szCs w:val="32"/>
          <w:lang w:eastAsia="zh-CN"/>
        </w:rPr>
        <w:t>综合科、行政复议应诉办案科</w:t>
      </w:r>
      <w:r>
        <w:rPr>
          <w:rFonts w:hint="eastAsia" w:ascii="仿宋" w:hAnsi="仿宋" w:eastAsia="仿宋" w:cs="Times New Roman"/>
          <w:color w:val="auto"/>
          <w:spacing w:val="-2"/>
          <w:sz w:val="32"/>
          <w:szCs w:val="32"/>
        </w:rPr>
        <w:t>、行政执法协调监督科、普法与依法治理科、人民参与和促进法治科（人民陪审员和监督员选任管理办公室）、公共法律服务管理科、律师工作科、法律职业资格管理与对外合作交流科、装备财务保障科、政治部（警务部）、机关党委</w:t>
      </w:r>
      <w:r>
        <w:rPr>
          <w:rFonts w:hint="eastAsia" w:ascii="仿宋" w:hAnsi="仿宋" w:eastAsia="仿宋" w:cs="Times New Roman"/>
          <w:color w:val="auto"/>
          <w:spacing w:val="-2"/>
          <w:sz w:val="32"/>
          <w:szCs w:val="32"/>
          <w:lang w:eastAsia="zh-CN"/>
        </w:rPr>
        <w:t>。</w:t>
      </w:r>
    </w:p>
    <w:p w14:paraId="1BECFC87">
      <w:pPr>
        <w:pStyle w:val="7"/>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3" w:firstLineChars="200"/>
        <w:textAlignment w:val="auto"/>
        <w:rPr>
          <w:rFonts w:hint="default" w:ascii="楷体_GB2312" w:eastAsia="楷体_GB2312" w:cs="楷体_GB2312"/>
          <w:b/>
          <w:bCs/>
          <w:i w:val="0"/>
          <w:iCs w:val="0"/>
          <w:caps w:val="0"/>
          <w:color w:val="000000"/>
          <w:spacing w:val="0"/>
          <w:sz w:val="32"/>
          <w:szCs w:val="32"/>
          <w:shd w:val="clear" w:fill="FFFFFF"/>
        </w:rPr>
      </w:pPr>
      <w:r>
        <w:rPr>
          <w:rFonts w:hint="default" w:ascii="楷体_GB2312" w:eastAsia="楷体_GB2312" w:cs="楷体_GB2312"/>
          <w:b/>
          <w:bCs/>
          <w:i w:val="0"/>
          <w:iCs w:val="0"/>
          <w:caps w:val="0"/>
          <w:color w:val="000000"/>
          <w:spacing w:val="0"/>
          <w:sz w:val="32"/>
          <w:szCs w:val="32"/>
          <w:shd w:val="clear" w:fill="FFFFFF"/>
        </w:rPr>
        <w:t>人员编制情况</w:t>
      </w:r>
    </w:p>
    <w:p w14:paraId="7285646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仿宋" w:hAnsi="仿宋" w:eastAsia="仿宋" w:cs="仿宋"/>
          <w:color w:val="auto"/>
          <w:spacing w:val="-2"/>
          <w:kern w:val="2"/>
          <w:sz w:val="32"/>
          <w:szCs w:val="32"/>
          <w:lang w:val="en-US" w:eastAsia="zh-CN" w:bidi="ar-SA"/>
        </w:rPr>
      </w:pPr>
      <w:r>
        <w:rPr>
          <w:rFonts w:hint="eastAsia" w:ascii="仿宋" w:hAnsi="仿宋" w:eastAsia="仿宋" w:cs="仿宋"/>
          <w:i w:val="0"/>
          <w:iCs w:val="0"/>
          <w:caps w:val="0"/>
          <w:color w:val="000000"/>
          <w:spacing w:val="0"/>
          <w:sz w:val="32"/>
          <w:szCs w:val="32"/>
          <w:shd w:val="clear" w:fill="FFFFFF"/>
          <w:lang w:val="en-US" w:eastAsia="zh-CN"/>
        </w:rPr>
        <w:t xml:space="preserve"> </w:t>
      </w:r>
      <w:r>
        <w:rPr>
          <w:rFonts w:hint="eastAsia" w:ascii="仿宋" w:hAnsi="仿宋" w:eastAsia="仿宋" w:cs="仿宋"/>
          <w:color w:val="auto"/>
          <w:spacing w:val="-2"/>
          <w:kern w:val="2"/>
          <w:sz w:val="32"/>
          <w:szCs w:val="32"/>
          <w:lang w:val="en-US" w:eastAsia="zh-CN" w:bidi="ar-SA"/>
        </w:rPr>
        <w:t>2023年末，市司法局编制人数76个，实有在职人数72人。</w:t>
      </w:r>
    </w:p>
    <w:p w14:paraId="1391893F">
      <w:pPr>
        <w:pStyle w:val="7"/>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0" w:leftChars="0" w:right="0" w:firstLine="635" w:firstLineChars="200"/>
        <w:textAlignment w:val="auto"/>
        <w:rPr>
          <w:rFonts w:hint="eastAsia" w:ascii="楷体" w:hAnsi="楷体" w:eastAsia="楷体" w:cs="楷体"/>
          <w:b/>
          <w:bCs/>
          <w:color w:val="auto"/>
          <w:spacing w:val="-2"/>
          <w:kern w:val="2"/>
          <w:sz w:val="32"/>
          <w:szCs w:val="32"/>
          <w:lang w:val="en-US" w:eastAsia="zh-CN" w:bidi="ar-SA"/>
        </w:rPr>
      </w:pPr>
      <w:r>
        <w:rPr>
          <w:rFonts w:hint="eastAsia" w:ascii="楷体" w:hAnsi="楷体" w:eastAsia="楷体" w:cs="楷体"/>
          <w:b/>
          <w:bCs/>
          <w:color w:val="auto"/>
          <w:spacing w:val="-2"/>
          <w:kern w:val="2"/>
          <w:sz w:val="32"/>
          <w:szCs w:val="32"/>
          <w:lang w:val="en-US" w:eastAsia="zh-CN" w:bidi="ar-SA"/>
        </w:rPr>
        <w:t>主要职能职责</w:t>
      </w:r>
    </w:p>
    <w:p w14:paraId="15FD68C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楷体_GB2312" w:eastAsia="楷体_GB2312" w:cs="楷体_GB2312"/>
          <w:i w:val="0"/>
          <w:iCs w:val="0"/>
          <w:caps w:val="0"/>
          <w:color w:val="000000"/>
          <w:spacing w:val="0"/>
          <w:sz w:val="32"/>
          <w:szCs w:val="32"/>
          <w:shd w:val="clear" w:fill="FFFFFF"/>
          <w:lang w:val="en-US" w:eastAsia="zh-CN"/>
        </w:rPr>
        <w:t xml:space="preserve"> 1.</w:t>
      </w:r>
      <w:r>
        <w:rPr>
          <w:rFonts w:hint="eastAsia" w:ascii="仿宋" w:hAnsi="仿宋" w:eastAsia="仿宋" w:cs="仿宋"/>
          <w:i w:val="0"/>
          <w:iCs w:val="0"/>
          <w:caps w:val="0"/>
          <w:color w:val="000000"/>
          <w:spacing w:val="0"/>
          <w:sz w:val="32"/>
          <w:szCs w:val="32"/>
          <w:shd w:val="clear" w:fill="FFFFFF"/>
          <w:lang w:val="en-US" w:eastAsia="zh-CN"/>
        </w:rPr>
        <w:t>承担全面依法治市重大问题的调查研究，协调有关方面提出全面依法治市中长期规划建议，负责有关重大决策部署督察工作。</w:t>
      </w:r>
    </w:p>
    <w:p w14:paraId="51D7750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2.贯彻执行国家、省关于司法行政工作的方针政策和法律法规；编制全市司法行政工作发展规划和年度计划并监督实施。</w:t>
      </w:r>
    </w:p>
    <w:p w14:paraId="2F339AE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3.承担统筹规划市人民政府立法工作的责任，协调有关方面提出立法规划和年度立法工作计划的建议，报市人民政府批准后组织实施。负责跟踪了解各部门对立法工作计划的落实情况，加强组织协调和督促指导，研究提出立法与改革决策相衔接的意见、措施。负责面向社会征集法规规章制定项目建议。</w:t>
      </w:r>
    </w:p>
    <w:p w14:paraId="29A2CE2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4.负责起草或者组织起草有关地方性法规、规章草案。承办有关地方性法规和规章草案的审查工作。负责立法协调。</w:t>
      </w:r>
    </w:p>
    <w:p w14:paraId="257B742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5.承办市人民政府规章的解释、立法后评估工作。负责协调各地区各部门实施法律法规和规章中的有关争议和问题。承办市人民政府规章清理、编纂、备案工作。</w:t>
      </w:r>
    </w:p>
    <w:p w14:paraId="41D29BC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6.负责指导全市规范性文件管理有关工作。承担市人民政府规范性文件送审稿的合法性审查。承办市人民政府及其各部门规范性文件的登记工作。受理有关规范性文件违法的审查申请。负责县市区人民政府规范性文件备案审查工作。负责市人民政府规范性文件向省人民政府和市人大常委会报送备案工作。组织开展政府规范性文件清理工作。负责对市政府重大行政决策进行合法性审查。</w:t>
      </w:r>
    </w:p>
    <w:p w14:paraId="502888A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7.承担统筹推进法治政府建设的责任。指导、监督市人民政府各部门、县市区人民政府依法行政工作。负责综合协调行政执法，承担推进行政执法体制改革有关工作，推进严格规范公正文明执法。</w:t>
      </w:r>
    </w:p>
    <w:p w14:paraId="3240F46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8.承办向市人民政府申请的行政复议案件，承办或指导部门办理以市政府为被申请人向省政府申请行政复议案件的有关行政复议事项，承办或指导有关单位办理市人民政府行政应诉事项；指导、监督全市行政复议和行政应诉工作。</w:t>
      </w:r>
    </w:p>
    <w:p w14:paraId="72A919E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9.承担统筹规划全市法治社会建设的责任。负责拟订法治宣传教育规划，组织实施普法宣传工作，组织对外法治宣传。推动人民参与和促进法治建设。指导依法治理和法治创建工作，参与社会治安综合治理工作。指导调解工作和人民陪审员、人民监督员选任管理工作，推进司法所建设。</w:t>
      </w:r>
    </w:p>
    <w:p w14:paraId="5E50F36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10.指导、管理社区矫正工作。指导刑满释放人员帮教安置工作。</w:t>
      </w:r>
    </w:p>
    <w:p w14:paraId="0083C1F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11.指导管理本系统强制隔离戒毒执行和戒毒康复工作。对社区戒毒和社区康复工作提供指导、支持和协助。</w:t>
      </w:r>
    </w:p>
    <w:p w14:paraId="706E186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12.负责拟订公共法律服务体系建设规划并指导实施，统筹和布局城乡、区域法律服务资源。指导、监督律师、法律援助、司法鉴定、公证、仲裁和基层法律服务管理工作。</w:t>
      </w:r>
    </w:p>
    <w:p w14:paraId="708A23F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13.负责全市国家统一法律职业资格考试的组织实施工作。负责全市法律职业资格证书申请的初审呈报和证书发放有关工作；负责法律职业资格证书取得者的有关管理工作；负责规划和指导法律职业人员入职前培训，参与指导面向社会的法学教育。</w:t>
      </w:r>
    </w:p>
    <w:p w14:paraId="0800B1A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14.负责全市法治对外合作工作。组织开展法治对外合作交流。承担市政府涉外协议等文件的法律审查工作。</w:t>
      </w:r>
    </w:p>
    <w:p w14:paraId="78BC181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15.负责本系统枪支、弹药、服装和警车管理工作，指导、监督本系统财务、装备、设施、场所等保障工作。</w:t>
      </w:r>
    </w:p>
    <w:p w14:paraId="5641E3F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16.规划、协调、指导法治人才队伍建设相关工作。指导、监督本系统队伍建设。负责本系统警务管理和警务督察工作。协助各县市区管理司法局领导干部。</w:t>
      </w:r>
    </w:p>
    <w:p w14:paraId="3DB4444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default" w:ascii="楷体_GB2312" w:eastAsia="楷体_GB2312" w:cs="楷体_GB2312"/>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17.完成市委、市人民政府交办的其他任务。</w:t>
      </w:r>
    </w:p>
    <w:p w14:paraId="247A889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（四）绩效目标设定情况</w:t>
      </w:r>
    </w:p>
    <w:p w14:paraId="3FA8CA0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仿宋" w:hAnsi="仿宋" w:eastAsia="仿宋" w:cs="仿宋"/>
          <w:b w:val="0"/>
          <w:bCs w:val="0"/>
          <w:i w:val="0"/>
          <w:iCs w:val="0"/>
          <w:caps w:val="0"/>
          <w:color w:val="3D3D3D"/>
          <w:spacing w:val="0"/>
          <w:sz w:val="32"/>
          <w:szCs w:val="32"/>
          <w:shd w:val="clear" w:fill="FFFFFF"/>
          <w:lang w:eastAsia="zh-CN"/>
        </w:rPr>
      </w:pPr>
      <w:r>
        <w:rPr>
          <w:rFonts w:hint="eastAsia" w:ascii="仿宋" w:hAnsi="仿宋" w:eastAsia="仿宋" w:cs="仿宋"/>
          <w:b w:val="0"/>
          <w:bCs w:val="0"/>
          <w:i w:val="0"/>
          <w:iCs w:val="0"/>
          <w:caps w:val="0"/>
          <w:color w:val="3D3D3D"/>
          <w:spacing w:val="0"/>
          <w:sz w:val="32"/>
          <w:szCs w:val="32"/>
          <w:shd w:val="clear" w:fill="FFFFFF"/>
          <w:lang w:eastAsia="zh-CN"/>
        </w:rPr>
        <w:t>一是</w:t>
      </w:r>
      <w:r>
        <w:rPr>
          <w:rFonts w:hint="eastAsia" w:ascii="仿宋" w:hAnsi="仿宋" w:eastAsia="仿宋" w:cs="仿宋"/>
          <w:b w:val="0"/>
          <w:bCs w:val="0"/>
          <w:i w:val="0"/>
          <w:iCs w:val="0"/>
          <w:caps w:val="0"/>
          <w:color w:val="3D3D3D"/>
          <w:spacing w:val="0"/>
          <w:sz w:val="32"/>
          <w:szCs w:val="32"/>
          <w:shd w:val="clear" w:fill="FFFFFF"/>
        </w:rPr>
        <w:t>聚焦政治统领，</w:t>
      </w:r>
      <w:r>
        <w:rPr>
          <w:rFonts w:hint="eastAsia" w:ascii="仿宋" w:hAnsi="仿宋" w:eastAsia="仿宋" w:cs="仿宋"/>
          <w:b w:val="0"/>
          <w:bCs w:val="0"/>
          <w:i w:val="0"/>
          <w:iCs w:val="0"/>
          <w:caps w:val="0"/>
          <w:color w:val="3D3D3D"/>
          <w:spacing w:val="0"/>
          <w:sz w:val="32"/>
          <w:szCs w:val="32"/>
          <w:shd w:val="clear" w:fill="FFFFFF"/>
          <w:lang w:eastAsia="zh-CN"/>
        </w:rPr>
        <w:t>加强</w:t>
      </w:r>
      <w:r>
        <w:rPr>
          <w:rFonts w:hint="eastAsia" w:ascii="仿宋" w:hAnsi="仿宋" w:eastAsia="仿宋" w:cs="仿宋"/>
          <w:b w:val="0"/>
          <w:bCs w:val="0"/>
          <w:i w:val="0"/>
          <w:iCs w:val="0"/>
          <w:caps w:val="0"/>
          <w:color w:val="3D3D3D"/>
          <w:spacing w:val="0"/>
          <w:sz w:val="32"/>
          <w:szCs w:val="32"/>
          <w:shd w:val="clear" w:fill="FFFFFF"/>
        </w:rPr>
        <w:t>党的建设。</w:t>
      </w:r>
      <w:r>
        <w:rPr>
          <w:rFonts w:hint="eastAsia" w:ascii="仿宋" w:hAnsi="仿宋" w:eastAsia="仿宋" w:cs="仿宋"/>
          <w:b w:val="0"/>
          <w:bCs w:val="0"/>
          <w:i w:val="0"/>
          <w:iCs w:val="0"/>
          <w:caps w:val="0"/>
          <w:color w:val="3D3D3D"/>
          <w:spacing w:val="0"/>
          <w:sz w:val="32"/>
          <w:szCs w:val="32"/>
          <w:shd w:val="clear" w:fill="FFFFFF"/>
          <w:lang w:eastAsia="zh-CN"/>
        </w:rPr>
        <w:t>二是</w:t>
      </w:r>
      <w:r>
        <w:rPr>
          <w:rFonts w:hint="eastAsia" w:ascii="仿宋" w:hAnsi="仿宋" w:eastAsia="仿宋" w:cs="仿宋"/>
          <w:b w:val="0"/>
          <w:bCs w:val="0"/>
          <w:i w:val="0"/>
          <w:iCs w:val="0"/>
          <w:caps w:val="0"/>
          <w:color w:val="3D3D3D"/>
          <w:spacing w:val="0"/>
          <w:sz w:val="32"/>
          <w:szCs w:val="32"/>
          <w:shd w:val="clear" w:fill="FFFFFF"/>
        </w:rPr>
        <w:t>法治统抓有力有序，</w:t>
      </w:r>
      <w:r>
        <w:rPr>
          <w:rFonts w:hint="eastAsia" w:ascii="仿宋" w:hAnsi="仿宋" w:eastAsia="仿宋" w:cs="仿宋"/>
          <w:b w:val="0"/>
          <w:bCs w:val="0"/>
          <w:i w:val="0"/>
          <w:iCs w:val="0"/>
          <w:caps w:val="0"/>
          <w:color w:val="3D3D3D"/>
          <w:spacing w:val="0"/>
          <w:sz w:val="32"/>
          <w:szCs w:val="32"/>
          <w:shd w:val="clear" w:fill="FFFFFF"/>
          <w:lang w:eastAsia="zh-CN"/>
        </w:rPr>
        <w:t>呈现</w:t>
      </w:r>
      <w:r>
        <w:rPr>
          <w:rFonts w:hint="eastAsia" w:ascii="仿宋" w:hAnsi="仿宋" w:eastAsia="仿宋" w:cs="仿宋"/>
          <w:b w:val="0"/>
          <w:bCs w:val="0"/>
          <w:i w:val="0"/>
          <w:iCs w:val="0"/>
          <w:caps w:val="0"/>
          <w:color w:val="3D3D3D"/>
          <w:spacing w:val="0"/>
          <w:sz w:val="32"/>
          <w:szCs w:val="32"/>
          <w:shd w:val="clear" w:fill="FFFFFF"/>
        </w:rPr>
        <w:t>法治保障新格局</w:t>
      </w:r>
      <w:r>
        <w:rPr>
          <w:rFonts w:hint="eastAsia" w:ascii="仿宋" w:hAnsi="仿宋" w:eastAsia="仿宋" w:cs="仿宋"/>
          <w:b w:val="0"/>
          <w:bCs w:val="0"/>
          <w:i w:val="0"/>
          <w:iCs w:val="0"/>
          <w:caps w:val="0"/>
          <w:color w:val="3D3D3D"/>
          <w:spacing w:val="0"/>
          <w:sz w:val="32"/>
          <w:szCs w:val="32"/>
          <w:shd w:val="clear" w:fill="FFFFFF"/>
          <w:lang w:eastAsia="zh-CN"/>
        </w:rPr>
        <w:t>。三是</w:t>
      </w:r>
      <w:r>
        <w:rPr>
          <w:rFonts w:hint="eastAsia" w:ascii="仿宋" w:hAnsi="仿宋" w:eastAsia="仿宋" w:cs="仿宋"/>
          <w:b w:val="0"/>
          <w:bCs w:val="0"/>
          <w:i w:val="0"/>
          <w:iCs w:val="0"/>
          <w:caps w:val="0"/>
          <w:color w:val="3D3D3D"/>
          <w:spacing w:val="0"/>
          <w:sz w:val="32"/>
          <w:szCs w:val="32"/>
          <w:shd w:val="clear" w:fill="FFFFFF"/>
        </w:rPr>
        <w:t>依法行政公正公信，</w:t>
      </w:r>
      <w:r>
        <w:rPr>
          <w:rFonts w:hint="eastAsia" w:ascii="仿宋" w:hAnsi="仿宋" w:eastAsia="仿宋" w:cs="仿宋"/>
          <w:b w:val="0"/>
          <w:bCs w:val="0"/>
          <w:i w:val="0"/>
          <w:iCs w:val="0"/>
          <w:caps w:val="0"/>
          <w:color w:val="3D3D3D"/>
          <w:spacing w:val="0"/>
          <w:sz w:val="32"/>
          <w:szCs w:val="32"/>
          <w:shd w:val="clear" w:fill="FFFFFF"/>
          <w:lang w:eastAsia="zh-CN"/>
        </w:rPr>
        <w:t>展现</w:t>
      </w:r>
      <w:r>
        <w:rPr>
          <w:rFonts w:hint="eastAsia" w:ascii="仿宋" w:hAnsi="仿宋" w:eastAsia="仿宋" w:cs="仿宋"/>
          <w:b w:val="0"/>
          <w:bCs w:val="0"/>
          <w:i w:val="0"/>
          <w:iCs w:val="0"/>
          <w:caps w:val="0"/>
          <w:color w:val="3D3D3D"/>
          <w:spacing w:val="0"/>
          <w:sz w:val="32"/>
          <w:szCs w:val="32"/>
          <w:shd w:val="clear" w:fill="FFFFFF"/>
        </w:rPr>
        <w:t>法治政府建设新气象</w:t>
      </w:r>
      <w:r>
        <w:rPr>
          <w:rFonts w:hint="eastAsia" w:ascii="仿宋" w:hAnsi="仿宋" w:eastAsia="仿宋" w:cs="仿宋"/>
          <w:b w:val="0"/>
          <w:bCs w:val="0"/>
          <w:i w:val="0"/>
          <w:iCs w:val="0"/>
          <w:caps w:val="0"/>
          <w:color w:val="3D3D3D"/>
          <w:spacing w:val="0"/>
          <w:sz w:val="32"/>
          <w:szCs w:val="32"/>
          <w:shd w:val="clear" w:fill="FFFFFF"/>
          <w:lang w:eastAsia="zh-CN"/>
        </w:rPr>
        <w:t>。四是</w:t>
      </w:r>
      <w:r>
        <w:rPr>
          <w:rFonts w:hint="eastAsia" w:ascii="仿宋" w:hAnsi="仿宋" w:eastAsia="仿宋" w:cs="仿宋"/>
          <w:b w:val="0"/>
          <w:bCs w:val="0"/>
          <w:i w:val="0"/>
          <w:iCs w:val="0"/>
          <w:caps w:val="0"/>
          <w:color w:val="3D3D3D"/>
          <w:spacing w:val="0"/>
          <w:sz w:val="32"/>
          <w:szCs w:val="32"/>
          <w:shd w:val="clear" w:fill="FFFFFF"/>
        </w:rPr>
        <w:t>服务大局精准精到</w:t>
      </w:r>
      <w:r>
        <w:rPr>
          <w:rFonts w:hint="eastAsia" w:ascii="仿宋" w:hAnsi="仿宋" w:eastAsia="仿宋" w:cs="仿宋"/>
          <w:b w:val="0"/>
          <w:bCs w:val="0"/>
          <w:i w:val="0"/>
          <w:iCs w:val="0"/>
          <w:caps w:val="0"/>
          <w:color w:val="3D3D3D"/>
          <w:spacing w:val="0"/>
          <w:sz w:val="32"/>
          <w:szCs w:val="32"/>
          <w:shd w:val="clear" w:fill="FFFFFF"/>
          <w:lang w:eastAsia="zh-CN"/>
        </w:rPr>
        <w:t>，彰显</w:t>
      </w:r>
      <w:r>
        <w:rPr>
          <w:rFonts w:hint="eastAsia" w:ascii="仿宋" w:hAnsi="仿宋" w:eastAsia="仿宋" w:cs="仿宋"/>
          <w:b w:val="0"/>
          <w:bCs w:val="0"/>
          <w:i w:val="0"/>
          <w:iCs w:val="0"/>
          <w:caps w:val="0"/>
          <w:color w:val="3D3D3D"/>
          <w:spacing w:val="0"/>
          <w:sz w:val="32"/>
          <w:szCs w:val="32"/>
          <w:shd w:val="clear" w:fill="FFFFFF"/>
        </w:rPr>
        <w:t>法治护航新作为。</w:t>
      </w:r>
      <w:r>
        <w:rPr>
          <w:rFonts w:hint="eastAsia" w:ascii="仿宋" w:hAnsi="仿宋" w:eastAsia="仿宋" w:cs="仿宋"/>
          <w:b w:val="0"/>
          <w:bCs w:val="0"/>
          <w:i w:val="0"/>
          <w:iCs w:val="0"/>
          <w:caps w:val="0"/>
          <w:color w:val="3D3D3D"/>
          <w:spacing w:val="0"/>
          <w:sz w:val="32"/>
          <w:szCs w:val="32"/>
          <w:shd w:val="clear" w:fill="FFFFFF"/>
          <w:lang w:eastAsia="zh-CN"/>
        </w:rPr>
        <w:t>五是</w:t>
      </w:r>
      <w:r>
        <w:rPr>
          <w:rFonts w:hint="eastAsia" w:ascii="仿宋" w:hAnsi="仿宋" w:eastAsia="仿宋" w:cs="仿宋"/>
          <w:b w:val="0"/>
          <w:bCs w:val="0"/>
          <w:i w:val="0"/>
          <w:iCs w:val="0"/>
          <w:caps w:val="0"/>
          <w:color w:val="3D3D3D"/>
          <w:spacing w:val="0"/>
          <w:sz w:val="32"/>
          <w:szCs w:val="32"/>
          <w:shd w:val="clear" w:fill="FFFFFF"/>
        </w:rPr>
        <w:t>法治为民用心用力，</w:t>
      </w:r>
      <w:r>
        <w:rPr>
          <w:rFonts w:hint="eastAsia" w:ascii="仿宋" w:hAnsi="仿宋" w:eastAsia="仿宋" w:cs="仿宋"/>
          <w:b w:val="0"/>
          <w:bCs w:val="0"/>
          <w:i w:val="0"/>
          <w:iCs w:val="0"/>
          <w:caps w:val="0"/>
          <w:color w:val="3D3D3D"/>
          <w:spacing w:val="0"/>
          <w:sz w:val="32"/>
          <w:szCs w:val="32"/>
          <w:shd w:val="clear" w:fill="FFFFFF"/>
          <w:lang w:eastAsia="zh-CN"/>
        </w:rPr>
        <w:t>实现</w:t>
      </w:r>
      <w:r>
        <w:rPr>
          <w:rFonts w:hint="eastAsia" w:ascii="仿宋" w:hAnsi="仿宋" w:eastAsia="仿宋" w:cs="仿宋"/>
          <w:b w:val="0"/>
          <w:bCs w:val="0"/>
          <w:i w:val="0"/>
          <w:iCs w:val="0"/>
          <w:caps w:val="0"/>
          <w:color w:val="3D3D3D"/>
          <w:spacing w:val="0"/>
          <w:sz w:val="32"/>
          <w:szCs w:val="32"/>
          <w:shd w:val="clear" w:fill="FFFFFF"/>
        </w:rPr>
        <w:t>法律服务新提升</w:t>
      </w:r>
      <w:r>
        <w:rPr>
          <w:rFonts w:hint="eastAsia" w:ascii="仿宋" w:hAnsi="仿宋" w:eastAsia="仿宋" w:cs="仿宋"/>
          <w:b w:val="0"/>
          <w:bCs w:val="0"/>
          <w:i w:val="0"/>
          <w:iCs w:val="0"/>
          <w:caps w:val="0"/>
          <w:color w:val="3D3D3D"/>
          <w:spacing w:val="0"/>
          <w:sz w:val="32"/>
          <w:szCs w:val="32"/>
          <w:shd w:val="clear" w:fill="FFFFFF"/>
          <w:lang w:eastAsia="zh-CN"/>
        </w:rPr>
        <w:t>。六是</w:t>
      </w:r>
      <w:r>
        <w:rPr>
          <w:rFonts w:hint="eastAsia" w:ascii="仿宋" w:hAnsi="仿宋" w:eastAsia="仿宋" w:cs="仿宋"/>
          <w:b w:val="0"/>
          <w:bCs w:val="0"/>
          <w:i w:val="0"/>
          <w:iCs w:val="0"/>
          <w:caps w:val="0"/>
          <w:color w:val="3D3D3D"/>
          <w:spacing w:val="0"/>
          <w:sz w:val="32"/>
          <w:szCs w:val="32"/>
          <w:shd w:val="clear" w:fill="FFFFFF"/>
        </w:rPr>
        <w:t>基层治理尽职尽责，</w:t>
      </w:r>
      <w:r>
        <w:rPr>
          <w:rFonts w:hint="eastAsia" w:ascii="仿宋" w:hAnsi="仿宋" w:eastAsia="仿宋" w:cs="仿宋"/>
          <w:b w:val="0"/>
          <w:bCs w:val="0"/>
          <w:i w:val="0"/>
          <w:iCs w:val="0"/>
          <w:caps w:val="0"/>
          <w:color w:val="3D3D3D"/>
          <w:spacing w:val="0"/>
          <w:sz w:val="32"/>
          <w:szCs w:val="32"/>
          <w:shd w:val="clear" w:fill="FFFFFF"/>
          <w:lang w:eastAsia="zh-CN"/>
        </w:rPr>
        <w:t>做出</w:t>
      </w:r>
      <w:r>
        <w:rPr>
          <w:rFonts w:hint="eastAsia" w:ascii="仿宋" w:hAnsi="仿宋" w:eastAsia="仿宋" w:cs="仿宋"/>
          <w:b w:val="0"/>
          <w:bCs w:val="0"/>
          <w:i w:val="0"/>
          <w:iCs w:val="0"/>
          <w:caps w:val="0"/>
          <w:color w:val="3D3D3D"/>
          <w:spacing w:val="0"/>
          <w:sz w:val="32"/>
          <w:szCs w:val="32"/>
          <w:shd w:val="clear" w:fill="FFFFFF"/>
        </w:rPr>
        <w:t>平安创建新贡献。</w:t>
      </w:r>
    </w:p>
    <w:p w14:paraId="2FD01ACF">
      <w:pPr>
        <w:keepNext w:val="0"/>
        <w:keepLines w:val="0"/>
        <w:pageBreakBefore w:val="0"/>
        <w:numPr>
          <w:ilvl w:val="0"/>
          <w:numId w:val="0"/>
        </w:numPr>
        <w:kinsoku/>
        <w:wordWrap/>
        <w:overflowPunct/>
        <w:topLinePunct w:val="0"/>
        <w:autoSpaceDE/>
        <w:autoSpaceDN/>
        <w:bidi w:val="0"/>
        <w:adjustRightInd/>
        <w:snapToGrid w:val="0"/>
        <w:spacing w:line="600" w:lineRule="exact"/>
        <w:ind w:firstLine="640" w:firstLineChars="200"/>
        <w:textAlignment w:val="auto"/>
        <w:rPr>
          <w:rFonts w:hint="eastAsia" w:ascii="黑体" w:hAnsi="黑体" w:eastAsia="黑体" w:cs="黑体"/>
          <w:i w:val="0"/>
          <w:iCs w:val="0"/>
          <w:caps w:val="0"/>
          <w:color w:val="000000"/>
          <w:spacing w:val="0"/>
          <w:kern w:val="0"/>
          <w:sz w:val="32"/>
          <w:szCs w:val="32"/>
          <w:shd w:val="clear" w:fill="FFFFFF"/>
          <w:lang w:val="en-US" w:eastAsia="zh-CN" w:bidi="ar"/>
        </w:rPr>
      </w:pPr>
      <w:r>
        <w:rPr>
          <w:rFonts w:hint="eastAsia" w:ascii="黑体" w:hAnsi="黑体" w:eastAsia="黑体" w:cs="黑体"/>
          <w:i w:val="0"/>
          <w:iCs w:val="0"/>
          <w:caps w:val="0"/>
          <w:color w:val="000000"/>
          <w:spacing w:val="0"/>
          <w:kern w:val="0"/>
          <w:sz w:val="32"/>
          <w:szCs w:val="32"/>
          <w:shd w:val="clear" w:fill="FFFFFF"/>
          <w:lang w:val="en-US" w:eastAsia="zh-CN" w:bidi="ar"/>
        </w:rPr>
        <w:t>二、部门整体支出管理及使用情况</w:t>
      </w:r>
    </w:p>
    <w:p w14:paraId="3F6EACF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3" w:firstLineChars="200"/>
        <w:textAlignment w:val="auto"/>
        <w:rPr>
          <w:rFonts w:hint="default" w:ascii="楷体_GB2312" w:eastAsia="楷体_GB2312" w:cs="楷体_GB2312"/>
          <w:b/>
          <w:bCs/>
          <w:i w:val="0"/>
          <w:iCs w:val="0"/>
          <w:caps w:val="0"/>
          <w:color w:val="000000"/>
          <w:spacing w:val="0"/>
          <w:sz w:val="32"/>
          <w:szCs w:val="32"/>
        </w:rPr>
      </w:pPr>
      <w:r>
        <w:rPr>
          <w:rFonts w:hint="default" w:ascii="楷体_GB2312" w:eastAsia="楷体_GB2312" w:cs="楷体_GB2312"/>
          <w:b/>
          <w:bCs/>
          <w:i w:val="0"/>
          <w:iCs w:val="0"/>
          <w:caps w:val="0"/>
          <w:color w:val="000000"/>
          <w:spacing w:val="0"/>
          <w:sz w:val="32"/>
          <w:szCs w:val="32"/>
          <w:shd w:val="clear" w:fill="FFFFFF"/>
        </w:rPr>
        <w:t>（一）</w:t>
      </w:r>
      <w:r>
        <w:rPr>
          <w:rFonts w:hint="eastAsia" w:ascii="楷体_GB2312" w:eastAsia="楷体_GB2312" w:cs="楷体_GB2312"/>
          <w:b/>
          <w:bCs/>
          <w:i w:val="0"/>
          <w:iCs w:val="0"/>
          <w:caps w:val="0"/>
          <w:color w:val="000000"/>
          <w:spacing w:val="0"/>
          <w:sz w:val="32"/>
          <w:szCs w:val="32"/>
          <w:shd w:val="clear" w:fill="FFFFFF"/>
        </w:rPr>
        <w:t>预算执行、使用、管理总体情况。</w:t>
      </w:r>
    </w:p>
    <w:p w14:paraId="1775E2B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3" w:firstLineChars="200"/>
        <w:jc w:val="left"/>
        <w:textAlignment w:val="auto"/>
        <w:rPr>
          <w:rFonts w:hint="eastAsia" w:ascii="仿宋" w:hAnsi="仿宋" w:eastAsia="仿宋" w:cs="仿宋"/>
          <w:b/>
          <w:bCs/>
          <w:i w:val="0"/>
          <w:iCs w:val="0"/>
          <w:caps w:val="0"/>
          <w:color w:val="000000"/>
          <w:spacing w:val="0"/>
          <w:sz w:val="32"/>
          <w:szCs w:val="32"/>
          <w:shd w:val="clear" w:fill="FFFFFF"/>
          <w:lang w:val="en-US" w:eastAsia="zh-CN"/>
        </w:rPr>
      </w:pPr>
      <w:r>
        <w:rPr>
          <w:rFonts w:hint="eastAsia" w:ascii="仿宋" w:hAnsi="仿宋" w:eastAsia="仿宋" w:cs="仿宋"/>
          <w:b/>
          <w:bCs/>
          <w:i w:val="0"/>
          <w:iCs w:val="0"/>
          <w:caps w:val="0"/>
          <w:color w:val="000000"/>
          <w:spacing w:val="0"/>
          <w:sz w:val="32"/>
          <w:szCs w:val="32"/>
          <w:shd w:val="clear" w:fill="FFFFFF"/>
          <w:lang w:val="en-US" w:eastAsia="zh-CN"/>
        </w:rPr>
        <w:t>1.2023年部门预算情况</w:t>
      </w:r>
    </w:p>
    <w:p w14:paraId="5F1E2BB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依据怀财预【2023】6号预算批复，2023年部门整体预算收支总额2079.25万元，其中：基本支出1433.93万元，占总支出68.96%；项目支出602.2万元，占总支出31.04%。</w:t>
      </w:r>
    </w:p>
    <w:p w14:paraId="326F9CA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3" w:firstLineChars="200"/>
        <w:jc w:val="left"/>
        <w:textAlignment w:val="auto"/>
        <w:rPr>
          <w:rFonts w:hint="default" w:ascii="仿宋" w:hAnsi="仿宋" w:eastAsia="仿宋" w:cs="仿宋"/>
          <w:b/>
          <w:bCs/>
          <w:i w:val="0"/>
          <w:iCs w:val="0"/>
          <w:caps w:val="0"/>
          <w:color w:val="000000"/>
          <w:spacing w:val="0"/>
          <w:sz w:val="32"/>
          <w:szCs w:val="32"/>
          <w:shd w:val="clear" w:fill="FFFFFF"/>
          <w:lang w:val="en-US" w:eastAsia="zh-CN"/>
        </w:rPr>
      </w:pPr>
      <w:r>
        <w:rPr>
          <w:rFonts w:hint="eastAsia" w:ascii="仿宋" w:hAnsi="仿宋" w:eastAsia="仿宋" w:cs="仿宋"/>
          <w:b/>
          <w:bCs/>
          <w:i w:val="0"/>
          <w:iCs w:val="0"/>
          <w:caps w:val="0"/>
          <w:color w:val="000000"/>
          <w:spacing w:val="0"/>
          <w:sz w:val="32"/>
          <w:szCs w:val="32"/>
          <w:shd w:val="clear" w:fill="FFFFFF"/>
          <w:lang w:val="en-US" w:eastAsia="zh-CN"/>
        </w:rPr>
        <w:t>2.2023年部门决算情况</w:t>
      </w:r>
    </w:p>
    <w:p w14:paraId="4DA2BEA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default"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2023年度部门整体决算总支出2004.02万元，预算执行率96.38%。其中：基本支出1365.89万元，占总支出68.16%，用于开支人员经费和日常公用经费；项目支出638.13万元，占总支出31.84%。</w:t>
      </w:r>
    </w:p>
    <w:p w14:paraId="3682D05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3" w:firstLineChars="200"/>
        <w:textAlignment w:val="auto"/>
        <w:rPr>
          <w:rFonts w:hint="default" w:ascii="楷体_GB2312" w:eastAsia="楷体_GB2312" w:cs="楷体_GB2312"/>
          <w:b/>
          <w:bCs/>
          <w:i w:val="0"/>
          <w:iCs w:val="0"/>
          <w:caps w:val="0"/>
          <w:color w:val="000000"/>
          <w:spacing w:val="0"/>
          <w:sz w:val="32"/>
          <w:szCs w:val="32"/>
          <w:shd w:val="clear" w:fill="FFFFFF"/>
          <w:lang w:val="en-US" w:eastAsia="zh-CN"/>
        </w:rPr>
      </w:pPr>
      <w:r>
        <w:rPr>
          <w:rFonts w:hint="default" w:ascii="楷体_GB2312" w:eastAsia="楷体_GB2312" w:cs="楷体_GB2312"/>
          <w:b/>
          <w:bCs/>
          <w:i w:val="0"/>
          <w:iCs w:val="0"/>
          <w:caps w:val="0"/>
          <w:color w:val="000000"/>
          <w:spacing w:val="0"/>
          <w:sz w:val="32"/>
          <w:szCs w:val="32"/>
          <w:shd w:val="clear" w:fill="FFFFFF"/>
          <w:lang w:val="en-US" w:eastAsia="zh-CN"/>
        </w:rPr>
        <w:t>（二）部门预算执行情况</w:t>
      </w:r>
    </w:p>
    <w:p w14:paraId="6E9E85B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3" w:firstLineChars="200"/>
        <w:jc w:val="left"/>
        <w:textAlignment w:val="auto"/>
        <w:rPr>
          <w:rFonts w:hint="default" w:ascii="仿宋" w:hAnsi="仿宋" w:eastAsia="仿宋" w:cs="仿宋"/>
          <w:b/>
          <w:bCs/>
          <w:i w:val="0"/>
          <w:iCs w:val="0"/>
          <w:caps w:val="0"/>
          <w:color w:val="000000"/>
          <w:spacing w:val="0"/>
          <w:sz w:val="32"/>
          <w:szCs w:val="32"/>
          <w:shd w:val="clear" w:fill="FFFFFF"/>
          <w:lang w:val="en-US" w:eastAsia="zh-CN"/>
        </w:rPr>
      </w:pPr>
      <w:r>
        <w:rPr>
          <w:rFonts w:hint="default" w:ascii="仿宋" w:hAnsi="仿宋" w:eastAsia="仿宋" w:cs="仿宋"/>
          <w:b/>
          <w:bCs/>
          <w:i w:val="0"/>
          <w:iCs w:val="0"/>
          <w:caps w:val="0"/>
          <w:color w:val="000000"/>
          <w:spacing w:val="0"/>
          <w:sz w:val="32"/>
          <w:szCs w:val="32"/>
          <w:shd w:val="clear" w:fill="FFFFFF"/>
          <w:lang w:val="en-US" w:eastAsia="zh-CN"/>
        </w:rPr>
        <w:t>1.基本支出情况</w:t>
      </w:r>
    </w:p>
    <w:p w14:paraId="6A16E48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2023年度一般公共预算财政拨款基本支出1365.89万元，其中：</w:t>
      </w:r>
    </w:p>
    <w:p w14:paraId="26866F5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人员经费1262.94万元，占基本支出的92.46%，主要包括基本工资、津贴补贴、奖金、伙食补助费、机关事业单位基本养老保险缴费、职工基本医疗保险缴费、其他社会保障缴费、其他工资福利支出、生活补助、其他对个人和家庭的补助。</w:t>
      </w:r>
    </w:p>
    <w:p w14:paraId="0FA2866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default"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公用经费102.95万元，占基本支出的7.54%，主要包括公务接待费、工会经费、其他商品和服务支出。</w:t>
      </w:r>
    </w:p>
    <w:p w14:paraId="40E1AF8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3" w:firstLineChars="200"/>
        <w:jc w:val="left"/>
        <w:textAlignment w:val="auto"/>
        <w:rPr>
          <w:rFonts w:hint="default" w:ascii="仿宋" w:hAnsi="仿宋" w:eastAsia="仿宋" w:cs="仿宋"/>
          <w:b/>
          <w:bCs/>
          <w:i w:val="0"/>
          <w:iCs w:val="0"/>
          <w:caps w:val="0"/>
          <w:color w:val="000000"/>
          <w:spacing w:val="0"/>
          <w:sz w:val="32"/>
          <w:szCs w:val="32"/>
          <w:shd w:val="clear" w:fill="FFFFFF"/>
          <w:lang w:val="en-US" w:eastAsia="zh-CN"/>
        </w:rPr>
      </w:pPr>
      <w:r>
        <w:rPr>
          <w:rFonts w:hint="eastAsia" w:ascii="仿宋" w:hAnsi="仿宋" w:eastAsia="仿宋" w:cs="仿宋"/>
          <w:b/>
          <w:bCs/>
          <w:i w:val="0"/>
          <w:iCs w:val="0"/>
          <w:caps w:val="0"/>
          <w:color w:val="000000"/>
          <w:spacing w:val="0"/>
          <w:sz w:val="32"/>
          <w:szCs w:val="32"/>
          <w:shd w:val="clear" w:fill="FFFFFF"/>
          <w:lang w:val="en-US" w:eastAsia="zh-CN"/>
        </w:rPr>
        <w:t>2.</w:t>
      </w:r>
      <w:r>
        <w:rPr>
          <w:rFonts w:hint="default" w:ascii="仿宋" w:hAnsi="仿宋" w:eastAsia="仿宋" w:cs="仿宋"/>
          <w:b/>
          <w:bCs/>
          <w:i w:val="0"/>
          <w:iCs w:val="0"/>
          <w:caps w:val="0"/>
          <w:color w:val="000000"/>
          <w:spacing w:val="0"/>
          <w:sz w:val="32"/>
          <w:szCs w:val="32"/>
          <w:shd w:val="clear" w:fill="FFFFFF"/>
          <w:lang w:val="en-US" w:eastAsia="zh-CN"/>
        </w:rPr>
        <w:t>项目支出情况</w:t>
      </w:r>
    </w:p>
    <w:p w14:paraId="5DE45F4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根据怀财预【2023】6号文件安排，2023年，年初预算安排项目资金602.2万元，年中调整后预算数638.13万元，资金到位率100%。</w:t>
      </w:r>
    </w:p>
    <w:p w14:paraId="6B97232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2023年度项目支出决算数638.13万元，主要用于普法宣传、社区矫正、法律援助、律师工作、基层司法、政府立法、规范性文件管理、行政复议、行政应诉、行政执法监督、国家统一法律职业资格考试等司法行政业务开展。</w:t>
      </w:r>
    </w:p>
    <w:p w14:paraId="2B093F0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3" w:firstLineChars="200"/>
        <w:textAlignment w:val="auto"/>
        <w:rPr>
          <w:rFonts w:hint="default" w:ascii="楷体_GB2312" w:eastAsia="楷体_GB2312" w:cs="楷体_GB2312"/>
          <w:b/>
          <w:bCs/>
          <w:i w:val="0"/>
          <w:iCs w:val="0"/>
          <w:caps w:val="0"/>
          <w:color w:val="000000"/>
          <w:spacing w:val="0"/>
          <w:sz w:val="32"/>
          <w:szCs w:val="32"/>
          <w:shd w:val="clear" w:fill="FFFFFF"/>
          <w:lang w:val="en-US" w:eastAsia="zh-CN"/>
        </w:rPr>
      </w:pPr>
      <w:r>
        <w:rPr>
          <w:rFonts w:hint="default" w:ascii="楷体_GB2312" w:eastAsia="楷体_GB2312" w:cs="楷体_GB2312"/>
          <w:b/>
          <w:bCs/>
          <w:i w:val="0"/>
          <w:iCs w:val="0"/>
          <w:caps w:val="0"/>
          <w:color w:val="000000"/>
          <w:spacing w:val="0"/>
          <w:sz w:val="32"/>
          <w:szCs w:val="32"/>
          <w:shd w:val="clear" w:fill="FFFFFF"/>
          <w:lang w:val="en-US" w:eastAsia="zh-CN"/>
        </w:rPr>
        <w:t>（三）"三公"经费使用和管理情况</w:t>
      </w:r>
    </w:p>
    <w:p w14:paraId="550F208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default"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根据怀财预【2023】6号文件安排，2023年，“三公”经费预算数21万元，决算支出数20.59万元，预算执行率98.05%。</w:t>
      </w:r>
    </w:p>
    <w:p w14:paraId="66342FB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rPr>
        <w:t>三</w:t>
      </w:r>
      <w:r>
        <w:rPr>
          <w:rFonts w:hint="eastAsia" w:ascii="黑体" w:hAnsi="黑体" w:eastAsia="黑体" w:cs="黑体"/>
          <w:i w:val="0"/>
          <w:iCs w:val="0"/>
          <w:caps w:val="0"/>
          <w:color w:val="000000"/>
          <w:spacing w:val="0"/>
          <w:sz w:val="32"/>
          <w:szCs w:val="32"/>
          <w:shd w:val="clear" w:fill="FFFFFF"/>
        </w:rPr>
        <w:t>、政府性基金预算支出情况</w:t>
      </w:r>
    </w:p>
    <w:p w14:paraId="30CB876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黑体" w:hAnsi="黑体" w:eastAsia="黑体" w:cs="黑体"/>
          <w:i w:val="0"/>
          <w:iCs w:val="0"/>
          <w:caps w:val="0"/>
          <w:color w:val="000000"/>
          <w:spacing w:val="0"/>
          <w:sz w:val="32"/>
          <w:szCs w:val="32"/>
          <w:shd w:val="clear" w:fill="FFFFFF"/>
          <w:lang w:val="en-US" w:eastAsia="zh-CN"/>
        </w:rPr>
        <w:t xml:space="preserve">    </w:t>
      </w:r>
      <w:r>
        <w:rPr>
          <w:rFonts w:hint="eastAsia" w:ascii="仿宋" w:hAnsi="仿宋" w:eastAsia="仿宋" w:cs="仿宋"/>
          <w:i w:val="0"/>
          <w:iCs w:val="0"/>
          <w:caps w:val="0"/>
          <w:color w:val="000000"/>
          <w:spacing w:val="0"/>
          <w:sz w:val="32"/>
          <w:szCs w:val="32"/>
          <w:shd w:val="clear" w:fill="FFFFFF"/>
          <w:lang w:val="en-US" w:eastAsia="zh-CN"/>
        </w:rPr>
        <w:t>怀化市司法局无政府性基金预算支出</w:t>
      </w:r>
    </w:p>
    <w:p w14:paraId="7ADD1FED">
      <w:pPr>
        <w:pStyle w:val="7"/>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国有资本经营预算支出情况</w:t>
      </w:r>
    </w:p>
    <w:p w14:paraId="7E7E0D87">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Chars="0" w:right="0" w:rightChars="0" w:firstLine="640" w:firstLineChars="200"/>
        <w:textAlignment w:val="auto"/>
        <w:rPr>
          <w:rFonts w:hint="default" w:ascii="黑体" w:hAnsi="黑体" w:eastAsia="黑体" w:cs="黑体"/>
          <w:i w:val="0"/>
          <w:iCs w:val="0"/>
          <w:caps w:val="0"/>
          <w:color w:val="000000"/>
          <w:spacing w:val="0"/>
          <w:sz w:val="32"/>
          <w:szCs w:val="32"/>
          <w:shd w:val="clear" w:fill="FFFFFF"/>
          <w:lang w:val="en-US" w:eastAsia="zh-CN"/>
        </w:rPr>
      </w:pPr>
      <w:r>
        <w:rPr>
          <w:rFonts w:hint="eastAsia" w:ascii="黑体" w:hAnsi="黑体" w:eastAsia="黑体" w:cs="黑体"/>
          <w:i w:val="0"/>
          <w:iCs w:val="0"/>
          <w:caps w:val="0"/>
          <w:color w:val="000000"/>
          <w:spacing w:val="0"/>
          <w:sz w:val="32"/>
          <w:szCs w:val="32"/>
          <w:shd w:val="clear" w:fill="FFFFFF"/>
          <w:lang w:val="en-US" w:eastAsia="zh-CN"/>
        </w:rPr>
        <w:t xml:space="preserve">  </w:t>
      </w:r>
      <w:r>
        <w:rPr>
          <w:rFonts w:hint="eastAsia" w:ascii="仿宋_GB2312" w:eastAsia="仿宋_GB2312" w:cs="仿宋_GB2312"/>
          <w:i w:val="0"/>
          <w:iCs w:val="0"/>
          <w:caps w:val="0"/>
          <w:color w:val="000000"/>
          <w:spacing w:val="0"/>
          <w:sz w:val="32"/>
          <w:szCs w:val="32"/>
          <w:shd w:val="clear" w:fill="FFFFFF"/>
          <w:lang w:val="en-US" w:eastAsia="zh-CN"/>
        </w:rPr>
        <w:t xml:space="preserve"> </w:t>
      </w:r>
      <w:r>
        <w:rPr>
          <w:rFonts w:hint="eastAsia" w:ascii="仿宋" w:hAnsi="仿宋" w:eastAsia="仿宋" w:cs="仿宋"/>
          <w:i w:val="0"/>
          <w:iCs w:val="0"/>
          <w:caps w:val="0"/>
          <w:color w:val="000000"/>
          <w:spacing w:val="0"/>
          <w:sz w:val="32"/>
          <w:szCs w:val="32"/>
          <w:shd w:val="clear" w:fill="FFFFFF"/>
          <w:lang w:val="en-US" w:eastAsia="zh-CN"/>
        </w:rPr>
        <w:t>怀化市司法局无国有资本经营预算支出</w:t>
      </w:r>
    </w:p>
    <w:p w14:paraId="07BA4B35">
      <w:pPr>
        <w:pStyle w:val="7"/>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0" w:leftChars="0" w:right="0" w:firstLine="640" w:firstLineChars="20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社会保险基金预算支出情况</w:t>
      </w:r>
    </w:p>
    <w:p w14:paraId="3F465C5B">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Chars="0" w:right="0" w:rightChars="0" w:firstLine="640" w:firstLineChars="200"/>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 xml:space="preserve">    怀化市司法局无社会保险基金预算支出</w:t>
      </w:r>
    </w:p>
    <w:p w14:paraId="4936601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六、部门整体支出绩效情况</w:t>
      </w:r>
    </w:p>
    <w:p w14:paraId="2474882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3" w:firstLineChars="200"/>
        <w:textAlignment w:val="auto"/>
        <w:rPr>
          <w:rFonts w:hint="default" w:ascii="楷体_GB2312" w:eastAsia="楷体_GB2312" w:cs="楷体_GB2312"/>
          <w:b/>
          <w:bCs/>
          <w:i w:val="0"/>
          <w:iCs w:val="0"/>
          <w:caps w:val="0"/>
          <w:color w:val="000000"/>
          <w:spacing w:val="0"/>
          <w:sz w:val="32"/>
          <w:szCs w:val="32"/>
          <w:shd w:val="clear" w:fill="FFFFFF"/>
        </w:rPr>
      </w:pPr>
      <w:r>
        <w:rPr>
          <w:rFonts w:hint="default" w:ascii="楷体_GB2312" w:eastAsia="楷体_GB2312" w:cs="楷体_GB2312"/>
          <w:b/>
          <w:bCs/>
          <w:i w:val="0"/>
          <w:iCs w:val="0"/>
          <w:caps w:val="0"/>
          <w:color w:val="000000"/>
          <w:spacing w:val="0"/>
          <w:sz w:val="32"/>
          <w:szCs w:val="32"/>
          <w:shd w:val="clear" w:fill="FFFFFF"/>
        </w:rPr>
        <w:t>（一）综合评价结论。</w:t>
      </w:r>
    </w:p>
    <w:p w14:paraId="2B45334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900" w:firstLineChars="300"/>
        <w:textAlignment w:val="auto"/>
        <w:rPr>
          <w:rFonts w:hint="default" w:ascii="仿宋_GB2312" w:eastAsia="仿宋_GB2312" w:cs="仿宋_GB2312"/>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0"/>
          <w:szCs w:val="30"/>
          <w:shd w:val="clear" w:fill="FFFFFF"/>
          <w:lang w:eastAsia="zh-CN"/>
        </w:rPr>
        <w:t>怀化市司法局</w:t>
      </w:r>
      <w:r>
        <w:rPr>
          <w:rFonts w:hint="eastAsia" w:ascii="仿宋" w:hAnsi="仿宋" w:eastAsia="仿宋" w:cs="仿宋"/>
          <w:i w:val="0"/>
          <w:iCs w:val="0"/>
          <w:caps w:val="0"/>
          <w:color w:val="000000"/>
          <w:spacing w:val="0"/>
          <w:sz w:val="30"/>
          <w:szCs w:val="30"/>
          <w:shd w:val="clear" w:fill="FFFFFF"/>
        </w:rPr>
        <w:t>认真践行预算绩效一体化理念，从决策、管理、预算绩效等方面对财政预算支出经费进行全过程管理，不断提升预算管理水平，牢固树立“过紧日子”的思想，坚持精打细算、勤俭节约，严控一般性支出提高预算资金使用效益。绩效指标全部圆满完成，预算执行率大幅提升，预算管理持续加强，全年完成政府采购，运行成本、管理效率、履职效能、社会效应、可持续发展能力和服务对象满意度等方面实施效果良好，</w:t>
      </w:r>
      <w:r>
        <w:rPr>
          <w:rFonts w:hint="eastAsia" w:ascii="仿宋" w:hAnsi="仿宋" w:eastAsia="仿宋" w:cs="仿宋"/>
          <w:i w:val="0"/>
          <w:iCs w:val="0"/>
          <w:caps w:val="0"/>
          <w:color w:val="000000"/>
          <w:spacing w:val="0"/>
          <w:sz w:val="30"/>
          <w:szCs w:val="30"/>
          <w:shd w:val="clear" w:fill="FFFFFF"/>
          <w:lang w:eastAsia="zh-CN"/>
        </w:rPr>
        <w:t>整体支出绩效自评分</w:t>
      </w:r>
      <w:r>
        <w:rPr>
          <w:rFonts w:hint="eastAsia" w:ascii="仿宋" w:hAnsi="仿宋" w:eastAsia="仿宋" w:cs="仿宋"/>
          <w:i w:val="0"/>
          <w:iCs w:val="0"/>
          <w:caps w:val="0"/>
          <w:color w:val="000000"/>
          <w:spacing w:val="0"/>
          <w:sz w:val="30"/>
          <w:szCs w:val="30"/>
          <w:shd w:val="clear" w:fill="FFFFFF"/>
          <w:lang w:val="en-US" w:eastAsia="zh-CN"/>
        </w:rPr>
        <w:t>98分，</w:t>
      </w:r>
      <w:r>
        <w:rPr>
          <w:rFonts w:hint="eastAsia" w:ascii="仿宋" w:hAnsi="仿宋" w:eastAsia="仿宋" w:cs="仿宋"/>
          <w:i w:val="0"/>
          <w:iCs w:val="0"/>
          <w:caps w:val="0"/>
          <w:color w:val="000000"/>
          <w:spacing w:val="0"/>
          <w:sz w:val="30"/>
          <w:szCs w:val="30"/>
          <w:shd w:val="clear" w:fill="FFFFFF"/>
        </w:rPr>
        <w:t>详见附件自评表。</w:t>
      </w:r>
    </w:p>
    <w:p w14:paraId="73421CC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3" w:firstLineChars="200"/>
        <w:textAlignment w:val="auto"/>
        <w:rPr>
          <w:rFonts w:hint="default" w:ascii="仿宋_GB2312" w:eastAsia="仿宋_GB2312" w:cs="仿宋_GB2312"/>
          <w:b/>
          <w:bCs/>
          <w:i w:val="0"/>
          <w:iCs w:val="0"/>
          <w:caps w:val="0"/>
          <w:color w:val="FF0000"/>
          <w:spacing w:val="0"/>
          <w:sz w:val="32"/>
          <w:szCs w:val="32"/>
          <w:shd w:val="clear" w:fill="FFFFFF"/>
        </w:rPr>
      </w:pPr>
      <w:r>
        <w:rPr>
          <w:rFonts w:hint="default" w:ascii="楷体_GB2312" w:eastAsia="楷体_GB2312" w:cs="楷体_GB2312"/>
          <w:b/>
          <w:bCs/>
          <w:i w:val="0"/>
          <w:iCs w:val="0"/>
          <w:caps w:val="0"/>
          <w:color w:val="000000"/>
          <w:spacing w:val="0"/>
          <w:sz w:val="32"/>
          <w:szCs w:val="32"/>
          <w:shd w:val="clear" w:fill="FFFFFF"/>
        </w:rPr>
        <w:t>（二）综合评价情况</w:t>
      </w:r>
    </w:p>
    <w:p w14:paraId="709C5F9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600" w:lineRule="exact"/>
        <w:ind w:left="0" w:right="0" w:firstLine="640" w:firstLineChars="200"/>
        <w:jc w:val="both"/>
        <w:textAlignment w:val="auto"/>
        <w:rPr>
          <w:rFonts w:hint="default" w:ascii="仿宋" w:hAnsi="仿宋" w:eastAsia="仿宋" w:cs="仿宋"/>
          <w:i w:val="0"/>
          <w:iCs w:val="0"/>
          <w:caps w:val="0"/>
          <w:color w:val="3D3D3D"/>
          <w:spacing w:val="0"/>
          <w:kern w:val="0"/>
          <w:sz w:val="32"/>
          <w:szCs w:val="32"/>
          <w:shd w:val="clear" w:fill="FFFFFF"/>
          <w:lang w:val="en-US" w:eastAsia="zh-CN" w:bidi="ar"/>
        </w:rPr>
      </w:pPr>
      <w:r>
        <w:rPr>
          <w:rFonts w:hint="default" w:ascii="仿宋" w:hAnsi="仿宋" w:eastAsia="仿宋" w:cs="仿宋"/>
          <w:i w:val="0"/>
          <w:iCs w:val="0"/>
          <w:caps w:val="0"/>
          <w:color w:val="3D3D3D"/>
          <w:spacing w:val="0"/>
          <w:kern w:val="0"/>
          <w:sz w:val="32"/>
          <w:szCs w:val="32"/>
          <w:shd w:val="clear" w:fill="FFFFFF"/>
          <w:lang w:val="en-US" w:eastAsia="zh-CN" w:bidi="ar"/>
        </w:rPr>
        <w:t>2023</w:t>
      </w:r>
      <w:r>
        <w:rPr>
          <w:rFonts w:ascii="仿宋" w:hAnsi="仿宋" w:eastAsia="仿宋" w:cs="仿宋"/>
          <w:i w:val="0"/>
          <w:iCs w:val="0"/>
          <w:caps w:val="0"/>
          <w:color w:val="3D3D3D"/>
          <w:spacing w:val="0"/>
          <w:kern w:val="0"/>
          <w:sz w:val="32"/>
          <w:szCs w:val="32"/>
          <w:shd w:val="clear" w:fill="FFFFFF"/>
          <w:lang w:val="en-US" w:eastAsia="zh-CN" w:bidi="ar"/>
        </w:rPr>
        <w:t>年以</w:t>
      </w:r>
      <w:r>
        <w:rPr>
          <w:rFonts w:hint="default" w:ascii="仿宋" w:hAnsi="仿宋" w:eastAsia="仿宋" w:cs="仿宋"/>
          <w:i w:val="0"/>
          <w:iCs w:val="0"/>
          <w:caps w:val="0"/>
          <w:color w:val="3D3D3D"/>
          <w:spacing w:val="0"/>
          <w:kern w:val="0"/>
          <w:sz w:val="32"/>
          <w:szCs w:val="32"/>
          <w:shd w:val="clear" w:fill="FFFFFF"/>
          <w:lang w:val="en-US" w:eastAsia="zh-CN" w:bidi="ar"/>
        </w:rPr>
        <w:t>来，怀化市司法局以习近平新时代中国特色社会主义思想为指导，认真贯彻落实党的二十大精神和习近平法治思想，聚焦中心大局，立足主责主业，践行法治为民理念，以实干实绩实效，扎实推进司法行政工作现代化建设，各项工作取得了一定成效。</w:t>
      </w:r>
    </w:p>
    <w:p w14:paraId="4A3EF47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600" w:lineRule="exact"/>
        <w:ind w:left="0" w:right="0" w:firstLine="643" w:firstLineChars="200"/>
        <w:jc w:val="both"/>
        <w:textAlignment w:val="auto"/>
        <w:rPr>
          <w:rFonts w:hint="eastAsia" w:ascii="仿宋" w:hAnsi="仿宋" w:eastAsia="仿宋" w:cs="仿宋"/>
          <w:i w:val="0"/>
          <w:iCs w:val="0"/>
          <w:caps w:val="0"/>
          <w:color w:val="3D3D3D"/>
          <w:spacing w:val="0"/>
          <w:sz w:val="21"/>
          <w:szCs w:val="21"/>
        </w:rPr>
      </w:pPr>
      <w:r>
        <w:rPr>
          <w:rFonts w:hint="eastAsia" w:ascii="仿宋" w:hAnsi="仿宋" w:eastAsia="仿宋" w:cs="仿宋"/>
          <w:b/>
          <w:bCs/>
          <w:i w:val="0"/>
          <w:iCs w:val="0"/>
          <w:caps w:val="0"/>
          <w:color w:val="3D3D3D"/>
          <w:spacing w:val="0"/>
          <w:kern w:val="0"/>
          <w:sz w:val="32"/>
          <w:szCs w:val="32"/>
          <w:shd w:val="clear" w:fill="FFFFFF"/>
          <w:lang w:val="en-US" w:eastAsia="zh-CN" w:bidi="ar"/>
        </w:rPr>
        <w:t>1.聚焦政治统领，党的建设得到新加强。</w:t>
      </w:r>
      <w:r>
        <w:rPr>
          <w:rFonts w:hint="eastAsia" w:ascii="仿宋" w:hAnsi="仿宋" w:eastAsia="仿宋" w:cs="仿宋"/>
          <w:i w:val="0"/>
          <w:iCs w:val="0"/>
          <w:caps w:val="0"/>
          <w:color w:val="3D3D3D"/>
          <w:spacing w:val="0"/>
          <w:kern w:val="0"/>
          <w:sz w:val="32"/>
          <w:szCs w:val="32"/>
          <w:shd w:val="clear" w:fill="FFFFFF"/>
          <w:lang w:val="en-US" w:eastAsia="zh-CN" w:bidi="ar"/>
        </w:rPr>
        <w:t>始终坚持正确的政治方向，把坚持和加强党的全面领导贯穿司法行政工作全过程各方面，始终在思想上政治上行动上同与以习近平同志为核心的党中央保持高度一致。严格遵守党的各项规章制度，及时向怀化市委、市委政法委等上级部门报告全局重大工作和个人重大事项。深入开展习近平新时代中国特色社会主义思想主题教育，扎实推进问题检视、读书班、集中自学、专题党课、专题研讨等工作，深入开展“走找想促”“四下基层”、解剖式调研等活动，认真剖析正反案例，累计帮助基层解决法治领域的问题60多个，举办政治轮训、业务培训共17次，参训人数1100余人次。结合“绝对忠诚、勤学善谋、执法为民、敢于担当、清正廉洁”作风建设等活动，在局机关创新开展“讲政治我带头、抓落实我争先”主题活动，组织开展了主题演讲、征文比赛，召开了青年干部座谈会，举办了全系统第六届男子篮球赛；深入推进“清廉机关”建设，获评市委首批“清廉机关”。</w:t>
      </w:r>
    </w:p>
    <w:p w14:paraId="1F50603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600" w:lineRule="exact"/>
        <w:ind w:left="0" w:right="0" w:firstLine="643" w:firstLineChars="200"/>
        <w:jc w:val="both"/>
        <w:textAlignment w:val="auto"/>
        <w:rPr>
          <w:rFonts w:hint="eastAsia" w:ascii="仿宋" w:hAnsi="仿宋" w:eastAsia="仿宋" w:cs="仿宋"/>
          <w:i w:val="0"/>
          <w:iCs w:val="0"/>
          <w:caps w:val="0"/>
          <w:color w:val="3D3D3D"/>
          <w:spacing w:val="0"/>
          <w:sz w:val="21"/>
          <w:szCs w:val="21"/>
        </w:rPr>
      </w:pPr>
      <w:r>
        <w:rPr>
          <w:rFonts w:hint="eastAsia" w:ascii="仿宋" w:hAnsi="仿宋" w:eastAsia="仿宋" w:cs="仿宋"/>
          <w:b/>
          <w:bCs/>
          <w:i w:val="0"/>
          <w:iCs w:val="0"/>
          <w:caps w:val="0"/>
          <w:color w:val="3D3D3D"/>
          <w:spacing w:val="0"/>
          <w:kern w:val="0"/>
          <w:sz w:val="32"/>
          <w:szCs w:val="32"/>
          <w:shd w:val="clear" w:fill="FFFFFF"/>
          <w:lang w:val="en-US" w:eastAsia="zh-CN" w:bidi="ar"/>
        </w:rPr>
        <w:t>2.法治统抓有力有序，法治保障呈现新格局。</w:t>
      </w:r>
      <w:r>
        <w:rPr>
          <w:rFonts w:hint="eastAsia" w:ascii="仿宋" w:hAnsi="仿宋" w:eastAsia="仿宋" w:cs="仿宋"/>
          <w:i w:val="0"/>
          <w:iCs w:val="0"/>
          <w:caps w:val="0"/>
          <w:color w:val="3D3D3D"/>
          <w:spacing w:val="0"/>
          <w:kern w:val="0"/>
          <w:sz w:val="32"/>
          <w:szCs w:val="32"/>
          <w:shd w:val="clear" w:fill="FFFFFF"/>
          <w:lang w:val="en-US" w:eastAsia="zh-CN" w:bidi="ar"/>
        </w:rPr>
        <w:t>组织召开市委全面依法治市委员会有关会议，在市委全会上将法治建设工作纳入重要议题，推动法治建设与经济社会发展“五同步”，高位推动全市各级党政主要负责人切实履行法治建设第一责任人职责。持续抓好习近平法治思想学习贯彻，市委市政府带头开展集中学习9次，全市开展习近平法治思想专题宣讲活动3500多场次。将法治建设工作纳入六届市委第六轮巡察范围，对24个单位开展法治建设专项监督检查，4大类146个问题线索得到迅速解决，获得市委和市委巡察办高度认可。对4个县区和6个市直单位进行了法治建设实地督察，组织开展法治建设督察整改“回头看”工作，全覆盖开展道路交通安全和运输执法领域突出问题专项整治工作督察，8大项39小项580余个法治方面问题全部整改到位，确保了法治督察实效。坚持“小快灵”“小切口”推进地方立法工作，积极参与推动《怀化市鹤中一体化发展促进条例》《怀化市文明行为促进条例》先后施行，为鹤中一体化发展、“一迎三创”等中心工作提供了有力的良法支撑。</w:t>
      </w:r>
    </w:p>
    <w:p w14:paraId="5152486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600" w:lineRule="exact"/>
        <w:ind w:left="0" w:right="0" w:firstLine="643" w:firstLineChars="200"/>
        <w:jc w:val="both"/>
        <w:textAlignment w:val="auto"/>
        <w:rPr>
          <w:rFonts w:hint="eastAsia" w:ascii="仿宋" w:hAnsi="仿宋" w:eastAsia="仿宋" w:cs="仿宋"/>
          <w:i w:val="0"/>
          <w:iCs w:val="0"/>
          <w:caps w:val="0"/>
          <w:color w:val="3D3D3D"/>
          <w:spacing w:val="0"/>
          <w:sz w:val="21"/>
          <w:szCs w:val="21"/>
        </w:rPr>
      </w:pPr>
      <w:r>
        <w:rPr>
          <w:rFonts w:hint="eastAsia" w:ascii="仿宋" w:hAnsi="仿宋" w:eastAsia="仿宋" w:cs="仿宋"/>
          <w:b/>
          <w:bCs/>
          <w:i w:val="0"/>
          <w:iCs w:val="0"/>
          <w:caps w:val="0"/>
          <w:color w:val="3D3D3D"/>
          <w:spacing w:val="0"/>
          <w:kern w:val="0"/>
          <w:sz w:val="32"/>
          <w:szCs w:val="32"/>
          <w:shd w:val="clear" w:fill="FFFFFF"/>
          <w:lang w:val="en-US" w:eastAsia="zh-CN" w:bidi="ar"/>
        </w:rPr>
        <w:t>3.依法行政公正公信，法治政府建设展现新气象。</w:t>
      </w:r>
      <w:r>
        <w:rPr>
          <w:rFonts w:hint="eastAsia" w:ascii="仿宋" w:hAnsi="仿宋" w:eastAsia="仿宋" w:cs="仿宋"/>
          <w:i w:val="0"/>
          <w:iCs w:val="0"/>
          <w:caps w:val="0"/>
          <w:color w:val="3D3D3D"/>
          <w:spacing w:val="0"/>
          <w:kern w:val="0"/>
          <w:sz w:val="32"/>
          <w:szCs w:val="32"/>
          <w:shd w:val="clear" w:fill="FFFFFF"/>
          <w:lang w:val="en-US" w:eastAsia="zh-CN" w:bidi="ar"/>
        </w:rPr>
        <w:t>组织召开高规格全市行政执法工作会议，高位推动行政执法单位全面严格规范文明执法。集中评查行政案卷400件，参与纪委监委“清风行动”评查案件300余件。有序推进行政复议质量提升年活动，完成市本级行政复议场所规范化建设并入驻办公；办理行政复议案件689件，其中市本级办理238件，综合纠错69件，纠错率29.49%，作出行政复议决定后被起诉的案件无一败诉，其中宋某不服怀化市交警支队行政处罚案获评全省典型案例。市本级审查规范性文件34件、“三统一”26件，将790件市县两级规范性文件录入“智慧人大”平台备案。新聘任9名兼职法律顾问和1家兼职法律顾问单位，一对一服务市政府领导。高效办理《怀化市中心城区房地产用地项目容积率认定及补缴土地出让价款有关问题的通知》等各类法律事务213件次，出具书面审查意见96份，参加各类涉法事务专题会议90余次，为市委市政府提供了优质法治参谋服务。</w:t>
      </w:r>
    </w:p>
    <w:p w14:paraId="105B8C8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600" w:lineRule="exact"/>
        <w:ind w:left="0" w:right="0" w:firstLine="643" w:firstLineChars="200"/>
        <w:jc w:val="both"/>
        <w:textAlignment w:val="auto"/>
        <w:rPr>
          <w:rFonts w:hint="eastAsia" w:ascii="仿宋" w:hAnsi="仿宋" w:eastAsia="仿宋" w:cs="仿宋"/>
          <w:i w:val="0"/>
          <w:iCs w:val="0"/>
          <w:caps w:val="0"/>
          <w:color w:val="3D3D3D"/>
          <w:spacing w:val="0"/>
          <w:sz w:val="21"/>
          <w:szCs w:val="21"/>
        </w:rPr>
      </w:pPr>
      <w:r>
        <w:rPr>
          <w:rFonts w:hint="eastAsia" w:ascii="仿宋" w:hAnsi="仿宋" w:eastAsia="仿宋" w:cs="仿宋"/>
          <w:b/>
          <w:bCs/>
          <w:i w:val="0"/>
          <w:iCs w:val="0"/>
          <w:caps w:val="0"/>
          <w:color w:val="3D3D3D"/>
          <w:spacing w:val="0"/>
          <w:kern w:val="0"/>
          <w:sz w:val="32"/>
          <w:szCs w:val="32"/>
          <w:shd w:val="clear" w:fill="FFFFFF"/>
          <w:lang w:val="en-US" w:eastAsia="zh-CN" w:bidi="ar"/>
        </w:rPr>
        <w:t>4.服务大局精准精到，法治护航彰显新作为。</w:t>
      </w:r>
      <w:r>
        <w:rPr>
          <w:rFonts w:hint="eastAsia" w:ascii="仿宋" w:hAnsi="仿宋" w:eastAsia="仿宋" w:cs="仿宋"/>
          <w:i w:val="0"/>
          <w:iCs w:val="0"/>
          <w:caps w:val="0"/>
          <w:color w:val="3D3D3D"/>
          <w:spacing w:val="0"/>
          <w:kern w:val="0"/>
          <w:sz w:val="32"/>
          <w:szCs w:val="32"/>
          <w:shd w:val="clear" w:fill="FFFFFF"/>
          <w:lang w:val="en-US" w:eastAsia="zh-CN" w:bidi="ar"/>
        </w:rPr>
        <w:t>围绕打好“发展六仗”，深入开展优化法治化营商环境“3+1”专项行动，积极推进“进园区、联商会、访企业、解难题”“律所联企业”等活动，密切联系温州商会及其会员单位，组建法律服务团队深入园区企业，扎实开展免费法治体检、法治宣传等助企服务。先后建成怀化高新区、芷江产业园区等8个园区公共法律服务站。积极推动具有涉外法律服务实务的北京东友律师事务所在怀化国际陆港经开区开设分所，现已按程序向北京市司法局和湖南省司法厅呈批。一年来，全市共开展涉企法治讲座240余场、座谈会350余次，为310余家企业开展法治体检，免费解答涉企法律咨询4800余次，提出法律建议830余条，为民营企业挽回或避免经济损失1.38亿元。</w:t>
      </w:r>
    </w:p>
    <w:p w14:paraId="6678F10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600" w:lineRule="exact"/>
        <w:ind w:left="0" w:right="0" w:firstLine="643" w:firstLineChars="200"/>
        <w:jc w:val="both"/>
        <w:textAlignment w:val="auto"/>
        <w:rPr>
          <w:rFonts w:hint="eastAsia" w:ascii="仿宋" w:hAnsi="仿宋" w:eastAsia="仿宋" w:cs="仿宋"/>
          <w:i w:val="0"/>
          <w:iCs w:val="0"/>
          <w:caps w:val="0"/>
          <w:color w:val="3D3D3D"/>
          <w:spacing w:val="0"/>
          <w:sz w:val="21"/>
          <w:szCs w:val="21"/>
        </w:rPr>
      </w:pPr>
      <w:r>
        <w:rPr>
          <w:rFonts w:hint="eastAsia" w:ascii="仿宋" w:hAnsi="仿宋" w:eastAsia="仿宋" w:cs="仿宋"/>
          <w:b/>
          <w:bCs/>
          <w:i w:val="0"/>
          <w:iCs w:val="0"/>
          <w:caps w:val="0"/>
          <w:color w:val="3D3D3D"/>
          <w:spacing w:val="0"/>
          <w:kern w:val="0"/>
          <w:sz w:val="32"/>
          <w:szCs w:val="32"/>
          <w:shd w:val="clear" w:fill="FFFFFF"/>
          <w:lang w:val="en-US" w:eastAsia="zh-CN" w:bidi="ar"/>
        </w:rPr>
        <w:t>5.法治为民用心用力，法律服务实现新提升。</w:t>
      </w:r>
      <w:r>
        <w:rPr>
          <w:rFonts w:hint="eastAsia" w:ascii="仿宋" w:hAnsi="仿宋" w:eastAsia="仿宋" w:cs="仿宋"/>
          <w:i w:val="0"/>
          <w:iCs w:val="0"/>
          <w:caps w:val="0"/>
          <w:color w:val="3D3D3D"/>
          <w:spacing w:val="0"/>
          <w:kern w:val="0"/>
          <w:sz w:val="32"/>
          <w:szCs w:val="32"/>
          <w:shd w:val="clear" w:fill="FFFFFF"/>
          <w:lang w:val="en-US" w:eastAsia="zh-CN" w:bidi="ar"/>
        </w:rPr>
        <w:t>紧扣民生公共法律服务需求，推动芷江县、新晃县、洪江区3个公证处恢复执业，新增2家司法鉴定所，积极开展公证上门等服务。依托“湘易办”“12348”等平台，进一步优化公共法律服务体系，接待群众法律咨询1.2万余人次，其中12348热线电话接听解答3988人次；办理法律援助案件5900件、公证案件8505件、司法鉴定案件6072件、仲裁案件98件，辰溪县法律援助律师杨志强被评为全国实施妇女儿童发展纲要先进个人。深化法考基地校地共建力度，投入210万元用于设施设备改善，顺利完成了三次主客观题考试。</w:t>
      </w:r>
    </w:p>
    <w:p w14:paraId="470E148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600" w:lineRule="exact"/>
        <w:ind w:left="0" w:right="0" w:firstLine="643" w:firstLineChars="200"/>
        <w:jc w:val="both"/>
        <w:textAlignment w:val="auto"/>
        <w:rPr>
          <w:rFonts w:hint="default" w:ascii="仿宋_GB2312" w:eastAsia="仿宋_GB2312" w:cs="仿宋_GB2312"/>
          <w:i w:val="0"/>
          <w:iCs w:val="0"/>
          <w:caps w:val="0"/>
          <w:color w:val="000000"/>
          <w:spacing w:val="0"/>
          <w:sz w:val="32"/>
          <w:szCs w:val="32"/>
          <w:shd w:val="clear" w:fill="FFFFFF"/>
        </w:rPr>
      </w:pPr>
      <w:r>
        <w:rPr>
          <w:rFonts w:hint="eastAsia" w:ascii="仿宋" w:hAnsi="仿宋" w:eastAsia="仿宋" w:cs="仿宋"/>
          <w:b/>
          <w:bCs/>
          <w:i w:val="0"/>
          <w:iCs w:val="0"/>
          <w:caps w:val="0"/>
          <w:color w:val="3D3D3D"/>
          <w:spacing w:val="0"/>
          <w:kern w:val="0"/>
          <w:sz w:val="32"/>
          <w:szCs w:val="32"/>
          <w:shd w:val="clear" w:fill="FFFFFF"/>
          <w:lang w:val="en-US" w:eastAsia="zh-CN" w:bidi="ar"/>
        </w:rPr>
        <w:t>6.基层治理尽职尽责，平安创建做出新贡献。</w:t>
      </w:r>
      <w:r>
        <w:rPr>
          <w:rFonts w:hint="eastAsia" w:ascii="仿宋" w:hAnsi="仿宋" w:eastAsia="仿宋" w:cs="仿宋"/>
          <w:i w:val="0"/>
          <w:iCs w:val="0"/>
          <w:caps w:val="0"/>
          <w:color w:val="3D3D3D"/>
          <w:spacing w:val="0"/>
          <w:kern w:val="0"/>
          <w:sz w:val="32"/>
          <w:szCs w:val="32"/>
          <w:shd w:val="clear" w:fill="FFFFFF"/>
          <w:lang w:val="en-US" w:eastAsia="zh-CN" w:bidi="ar"/>
        </w:rPr>
        <w:t>坚守人民调解第一道防线作用，紧盯特殊节点、重要时期，扎实开展矛盾纠纷大排查大化解工作，全年排查纠纷1.4万余起，调解成功率达97.52%；通道县洞雷村获评全国模范人民调解委员会，辰溪县米文秀、新晃县杨长清、沅陵县肖典国、洪江市黄金芳获评全国模范人民调解员，事迹报道被学习强国收录推介。市强戒所开展安全隐患排查15次，整改隐患问题293个，连续第22年实现场所“六无”目标，在全省司法行政戒毒系统2023年度考核中继续保持市州所第一名。建成四个乡镇远程探视点。社矫安帮工作“麻阳经验”获全国推介。完成“八五”普法中期评估验收工作。落实“谁执法谁普法”责任制，对53个普法责任制单位开展了履职测评。创作辰溪《茶山号子来普法》、鹤城区《高价彩礼》等非遗法治文化作品12件，部分作品在省展演活动中展演，辰溪、会同、鹤城等6个县6项作品获奖。招聘200多名在校大学生兼任普法专职（责）副所长，组织开展农村法治宣传教育月等专项普法活动700余场次，免费发放宣传资料10万余份。</w:t>
      </w:r>
    </w:p>
    <w:p w14:paraId="7AD1078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七、存在的问题及原因分析</w:t>
      </w:r>
    </w:p>
    <w:p w14:paraId="530E364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仿宋" w:hAnsi="仿宋" w:eastAsia="仿宋" w:cs="仿宋"/>
          <w:i w:val="0"/>
          <w:iCs w:val="0"/>
          <w:caps w:val="0"/>
          <w:color w:val="000000"/>
          <w:spacing w:val="0"/>
          <w:sz w:val="30"/>
          <w:szCs w:val="30"/>
        </w:rPr>
      </w:pPr>
      <w:r>
        <w:rPr>
          <w:rFonts w:hint="eastAsia" w:ascii="楷体_GB2312" w:eastAsia="楷体_GB2312" w:cs="楷体_GB2312"/>
          <w:b w:val="0"/>
          <w:bCs w:val="0"/>
          <w:i w:val="0"/>
          <w:iCs w:val="0"/>
          <w:caps w:val="0"/>
          <w:color w:val="000000"/>
          <w:spacing w:val="0"/>
          <w:sz w:val="32"/>
          <w:szCs w:val="32"/>
          <w:shd w:val="clear" w:fill="FFFFFF"/>
          <w:lang w:eastAsia="zh-CN"/>
        </w:rPr>
        <w:t>（一）</w:t>
      </w:r>
      <w:r>
        <w:rPr>
          <w:rFonts w:hint="eastAsia" w:ascii="楷体_GB2312" w:eastAsia="楷体_GB2312" w:cs="楷体_GB2312"/>
          <w:b w:val="0"/>
          <w:bCs w:val="0"/>
          <w:i w:val="0"/>
          <w:iCs w:val="0"/>
          <w:caps w:val="0"/>
          <w:color w:val="000000"/>
          <w:spacing w:val="0"/>
          <w:sz w:val="32"/>
          <w:szCs w:val="32"/>
          <w:shd w:val="clear" w:fill="FFFFFF"/>
        </w:rPr>
        <w:t>年</w:t>
      </w:r>
      <w:r>
        <w:rPr>
          <w:rFonts w:hint="eastAsia" w:ascii="楷体_GB2312" w:eastAsia="楷体_GB2312" w:cs="楷体_GB2312"/>
          <w:b/>
          <w:bCs/>
          <w:i w:val="0"/>
          <w:iCs w:val="0"/>
          <w:caps w:val="0"/>
          <w:color w:val="000000"/>
          <w:spacing w:val="0"/>
          <w:sz w:val="32"/>
          <w:szCs w:val="32"/>
          <w:shd w:val="clear" w:fill="FFFFFF"/>
        </w:rPr>
        <w:t>度绩效目标设置有待精细化科学化。</w:t>
      </w:r>
      <w:r>
        <w:rPr>
          <w:rFonts w:hint="eastAsia" w:ascii="仿宋" w:hAnsi="仿宋" w:eastAsia="仿宋" w:cs="仿宋"/>
          <w:i w:val="0"/>
          <w:iCs w:val="0"/>
          <w:caps w:val="0"/>
          <w:color w:val="000000"/>
          <w:spacing w:val="0"/>
          <w:sz w:val="30"/>
          <w:szCs w:val="30"/>
        </w:rPr>
        <w:t>年度绩效目标涉及重点职能履行、重点工作，涉及多个</w:t>
      </w:r>
      <w:r>
        <w:rPr>
          <w:rFonts w:hint="eastAsia" w:ascii="仿宋" w:hAnsi="仿宋" w:eastAsia="仿宋" w:cs="仿宋"/>
          <w:i w:val="0"/>
          <w:iCs w:val="0"/>
          <w:caps w:val="0"/>
          <w:color w:val="000000"/>
          <w:spacing w:val="0"/>
          <w:sz w:val="30"/>
          <w:szCs w:val="30"/>
          <w:lang w:eastAsia="zh-CN"/>
        </w:rPr>
        <w:t>科室</w:t>
      </w:r>
      <w:r>
        <w:rPr>
          <w:rFonts w:hint="eastAsia" w:ascii="仿宋" w:hAnsi="仿宋" w:eastAsia="仿宋" w:cs="仿宋"/>
          <w:i w:val="0"/>
          <w:iCs w:val="0"/>
          <w:caps w:val="0"/>
          <w:color w:val="000000"/>
          <w:spacing w:val="0"/>
          <w:sz w:val="30"/>
          <w:szCs w:val="30"/>
        </w:rPr>
        <w:t>，填报绩效目标时，大多数</w:t>
      </w:r>
      <w:r>
        <w:rPr>
          <w:rFonts w:hint="eastAsia" w:ascii="仿宋" w:hAnsi="仿宋" w:eastAsia="仿宋" w:cs="仿宋"/>
          <w:i w:val="0"/>
          <w:iCs w:val="0"/>
          <w:caps w:val="0"/>
          <w:color w:val="000000"/>
          <w:spacing w:val="0"/>
          <w:sz w:val="30"/>
          <w:szCs w:val="30"/>
          <w:lang w:eastAsia="zh-CN"/>
        </w:rPr>
        <w:t>科室</w:t>
      </w:r>
      <w:r>
        <w:rPr>
          <w:rFonts w:hint="eastAsia" w:ascii="仿宋" w:hAnsi="仿宋" w:eastAsia="仿宋" w:cs="仿宋"/>
          <w:i w:val="0"/>
          <w:iCs w:val="0"/>
          <w:caps w:val="0"/>
          <w:color w:val="000000"/>
          <w:spacing w:val="0"/>
          <w:sz w:val="30"/>
          <w:szCs w:val="30"/>
        </w:rPr>
        <w:t>年度重点工作计划还未详细统筹，绩效目标设置难以精细化科学化。</w:t>
      </w:r>
    </w:p>
    <w:p w14:paraId="37776AA1">
      <w:pPr>
        <w:pStyle w:val="7"/>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600" w:lineRule="exact"/>
        <w:ind w:firstLine="640"/>
        <w:jc w:val="both"/>
        <w:textAlignment w:val="auto"/>
        <w:rPr>
          <w:rFonts w:hint="eastAsia" w:ascii="仿宋" w:hAnsi="仿宋" w:eastAsia="仿宋" w:cs="仿宋"/>
          <w:i w:val="0"/>
          <w:iCs w:val="0"/>
          <w:caps w:val="0"/>
          <w:color w:val="000000"/>
          <w:spacing w:val="0"/>
          <w:sz w:val="32"/>
          <w:szCs w:val="32"/>
          <w:shd w:val="clear" w:fill="FFFFFF"/>
        </w:rPr>
      </w:pPr>
      <w:r>
        <w:rPr>
          <w:rFonts w:hint="eastAsia" w:ascii="楷体_GB2312" w:eastAsia="楷体_GB2312" w:cs="楷体_GB2312"/>
          <w:b/>
          <w:bCs/>
          <w:i w:val="0"/>
          <w:iCs w:val="0"/>
          <w:caps w:val="0"/>
          <w:color w:val="000000"/>
          <w:spacing w:val="0"/>
          <w:sz w:val="32"/>
          <w:szCs w:val="32"/>
          <w:shd w:val="clear" w:fill="FFFFFF"/>
          <w:lang w:eastAsia="zh-CN"/>
        </w:rPr>
        <w:t>（二）经费不足。</w:t>
      </w:r>
      <w:r>
        <w:rPr>
          <w:rFonts w:hint="eastAsia" w:ascii="仿宋" w:hAnsi="仿宋" w:eastAsia="仿宋" w:cs="仿宋"/>
          <w:color w:val="auto"/>
          <w:spacing w:val="-2"/>
          <w:sz w:val="32"/>
          <w:szCs w:val="32"/>
        </w:rPr>
        <w:t>由于近年来</w:t>
      </w:r>
      <w:r>
        <w:rPr>
          <w:rFonts w:hint="eastAsia" w:ascii="仿宋" w:hAnsi="仿宋" w:eastAsia="仿宋" w:cs="仿宋"/>
          <w:color w:val="auto"/>
          <w:spacing w:val="-2"/>
          <w:sz w:val="32"/>
          <w:szCs w:val="32"/>
          <w:lang w:eastAsia="zh-CN"/>
        </w:rPr>
        <w:t>市</w:t>
      </w:r>
      <w:r>
        <w:rPr>
          <w:rFonts w:hint="eastAsia" w:ascii="仿宋" w:hAnsi="仿宋" w:eastAsia="仿宋" w:cs="仿宋"/>
          <w:color w:val="auto"/>
          <w:spacing w:val="-2"/>
          <w:sz w:val="32"/>
          <w:szCs w:val="32"/>
        </w:rPr>
        <w:t>财政对公用经费及项</w:t>
      </w:r>
      <w:r>
        <w:rPr>
          <w:rFonts w:hint="eastAsia" w:ascii="仿宋" w:hAnsi="仿宋" w:eastAsia="仿宋" w:cs="仿宋"/>
          <w:color w:val="auto"/>
          <w:spacing w:val="-2"/>
          <w:sz w:val="32"/>
          <w:szCs w:val="32"/>
          <w:lang w:eastAsia="zh-CN"/>
        </w:rPr>
        <w:t>目</w:t>
      </w:r>
      <w:r>
        <w:rPr>
          <w:rFonts w:hint="eastAsia" w:ascii="仿宋" w:hAnsi="仿宋" w:eastAsia="仿宋" w:cs="仿宋"/>
          <w:color w:val="auto"/>
          <w:spacing w:val="-2"/>
          <w:sz w:val="32"/>
          <w:szCs w:val="32"/>
        </w:rPr>
        <w:t>资金的逐年压减，使得</w:t>
      </w:r>
      <w:r>
        <w:rPr>
          <w:rFonts w:hint="eastAsia" w:ascii="仿宋" w:hAnsi="仿宋" w:eastAsia="仿宋" w:cs="仿宋"/>
          <w:color w:val="auto"/>
          <w:spacing w:val="-2"/>
          <w:sz w:val="32"/>
          <w:szCs w:val="32"/>
          <w:lang w:eastAsia="zh-CN"/>
        </w:rPr>
        <w:t>本部门</w:t>
      </w:r>
      <w:r>
        <w:rPr>
          <w:rFonts w:hint="eastAsia" w:ascii="仿宋" w:hAnsi="仿宋" w:eastAsia="仿宋" w:cs="仿宋"/>
          <w:color w:val="auto"/>
          <w:spacing w:val="-2"/>
          <w:sz w:val="32"/>
          <w:szCs w:val="32"/>
        </w:rPr>
        <w:t>在日常运转、</w:t>
      </w:r>
      <w:r>
        <w:rPr>
          <w:rFonts w:hint="eastAsia" w:ascii="仿宋" w:hAnsi="仿宋" w:eastAsia="仿宋" w:cs="仿宋"/>
          <w:color w:val="auto"/>
          <w:spacing w:val="-2"/>
          <w:sz w:val="32"/>
          <w:szCs w:val="32"/>
          <w:lang w:eastAsia="zh-CN"/>
        </w:rPr>
        <w:t>司法行政业务</w:t>
      </w:r>
      <w:r>
        <w:rPr>
          <w:rFonts w:hint="eastAsia" w:ascii="仿宋" w:hAnsi="仿宋" w:eastAsia="仿宋" w:cs="仿宋"/>
          <w:color w:val="auto"/>
          <w:spacing w:val="-2"/>
          <w:sz w:val="32"/>
          <w:szCs w:val="32"/>
        </w:rPr>
        <w:t>等方面资金缺口</w:t>
      </w:r>
      <w:r>
        <w:rPr>
          <w:rFonts w:hint="eastAsia" w:ascii="仿宋" w:hAnsi="仿宋" w:eastAsia="仿宋" w:cs="仿宋"/>
          <w:color w:val="auto"/>
          <w:spacing w:val="-2"/>
          <w:sz w:val="32"/>
          <w:szCs w:val="32"/>
          <w:lang w:eastAsia="zh-CN"/>
        </w:rPr>
        <w:t>大</w:t>
      </w:r>
      <w:r>
        <w:rPr>
          <w:rFonts w:hint="eastAsia" w:ascii="仿宋" w:hAnsi="仿宋" w:eastAsia="仿宋" w:cs="仿宋"/>
          <w:color w:val="auto"/>
          <w:spacing w:val="-2"/>
          <w:sz w:val="32"/>
          <w:szCs w:val="32"/>
        </w:rPr>
        <w:t>。</w:t>
      </w:r>
    </w:p>
    <w:p w14:paraId="169387B0">
      <w:pPr>
        <w:pStyle w:val="7"/>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下一步改进措施</w:t>
      </w:r>
    </w:p>
    <w:p w14:paraId="57C42029">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rightChars="0" w:firstLine="640" w:firstLineChars="200"/>
        <w:textAlignment w:val="auto"/>
        <w:rPr>
          <w:rFonts w:hint="eastAsia" w:ascii="仿宋" w:hAnsi="仿宋" w:eastAsia="仿宋" w:cs="仿宋"/>
          <w:i w:val="0"/>
          <w:iCs w:val="0"/>
          <w:caps w:val="0"/>
          <w:color w:val="3D3D3D"/>
          <w:spacing w:val="0"/>
          <w:kern w:val="0"/>
          <w:sz w:val="32"/>
          <w:szCs w:val="32"/>
          <w:shd w:val="clear" w:fill="FFFFFF"/>
          <w:lang w:val="en-US" w:eastAsia="zh-CN" w:bidi="ar"/>
        </w:rPr>
      </w:pPr>
      <w:r>
        <w:rPr>
          <w:rFonts w:hint="eastAsia" w:ascii="仿宋" w:hAnsi="仿宋" w:eastAsia="仿宋" w:cs="仿宋"/>
          <w:i w:val="0"/>
          <w:iCs w:val="0"/>
          <w:caps w:val="0"/>
          <w:color w:val="3D3D3D"/>
          <w:spacing w:val="0"/>
          <w:kern w:val="0"/>
          <w:sz w:val="32"/>
          <w:szCs w:val="32"/>
          <w:shd w:val="clear" w:fill="FFFFFF"/>
          <w:lang w:val="en-US" w:eastAsia="zh-CN" w:bidi="ar"/>
        </w:rPr>
        <w:t>针对自评发现的问题，本部门将制定、完善相关管理制度，严格执行和实施，并采取相关措施解决上述问题：</w:t>
      </w:r>
    </w:p>
    <w:p w14:paraId="17EDA4EC">
      <w:pPr>
        <w:pStyle w:val="7"/>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rightChars="0" w:firstLine="643" w:firstLineChars="200"/>
        <w:textAlignment w:val="auto"/>
        <w:rPr>
          <w:rFonts w:hint="eastAsia" w:ascii="仿宋" w:hAnsi="仿宋" w:eastAsia="仿宋" w:cs="仿宋"/>
          <w:b/>
          <w:bCs/>
          <w:i w:val="0"/>
          <w:iCs w:val="0"/>
          <w:caps w:val="0"/>
          <w:color w:val="3D3D3D"/>
          <w:spacing w:val="0"/>
          <w:kern w:val="0"/>
          <w:sz w:val="32"/>
          <w:szCs w:val="32"/>
          <w:shd w:val="clear" w:fill="FFFFFF"/>
          <w:lang w:val="en-US" w:eastAsia="zh-CN" w:bidi="ar"/>
        </w:rPr>
      </w:pPr>
      <w:r>
        <w:rPr>
          <w:rFonts w:hint="eastAsia" w:ascii="楷体_GB2312" w:eastAsia="楷体_GB2312" w:cs="楷体_GB2312"/>
          <w:b/>
          <w:bCs/>
          <w:i w:val="0"/>
          <w:iCs w:val="0"/>
          <w:caps w:val="0"/>
          <w:color w:val="000000"/>
          <w:spacing w:val="0"/>
          <w:sz w:val="32"/>
          <w:szCs w:val="32"/>
          <w:shd w:val="clear" w:fill="FFFFFF"/>
          <w:lang w:val="en-US" w:eastAsia="zh-CN"/>
        </w:rPr>
        <w:t>加强部门预算管理，提高预算编制的精准性。</w:t>
      </w:r>
    </w:p>
    <w:p w14:paraId="3889AFF9">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rightChars="0" w:firstLine="640" w:firstLineChars="200"/>
        <w:textAlignment w:val="auto"/>
        <w:rPr>
          <w:rFonts w:hint="eastAsia" w:ascii="仿宋" w:hAnsi="仿宋" w:eastAsia="仿宋" w:cs="仿宋"/>
          <w:i w:val="0"/>
          <w:iCs w:val="0"/>
          <w:caps w:val="0"/>
          <w:color w:val="3D3D3D"/>
          <w:spacing w:val="0"/>
          <w:kern w:val="0"/>
          <w:sz w:val="32"/>
          <w:szCs w:val="32"/>
          <w:shd w:val="clear" w:fill="FFFFFF"/>
          <w:lang w:val="en-US" w:eastAsia="zh-CN" w:bidi="ar"/>
        </w:rPr>
      </w:pPr>
      <w:r>
        <w:rPr>
          <w:rFonts w:hint="eastAsia" w:ascii="仿宋" w:hAnsi="仿宋" w:eastAsia="仿宋" w:cs="仿宋"/>
          <w:i w:val="0"/>
          <w:iCs w:val="0"/>
          <w:caps w:val="0"/>
          <w:color w:val="3D3D3D"/>
          <w:spacing w:val="0"/>
          <w:kern w:val="0"/>
          <w:sz w:val="32"/>
          <w:szCs w:val="32"/>
          <w:shd w:val="clear" w:fill="FFFFFF"/>
          <w:lang w:val="en-US" w:eastAsia="zh-CN" w:bidi="ar"/>
        </w:rPr>
        <w:t>预算编制的合理性和准确性是预算执行高进度和高效率的前提保障，预算编制时充分考虑近几年预算执行情况和本年度收支，科学合理编制预算，将预算绩效目标纳入年度考核，未按要求设定绩效目标或审核未通过的，不安排预算。</w:t>
      </w:r>
    </w:p>
    <w:p w14:paraId="5D233128">
      <w:pPr>
        <w:pStyle w:val="7"/>
        <w:keepNext w:val="0"/>
        <w:keepLines w:val="0"/>
        <w:pageBreakBefore w:val="0"/>
        <w:widowControl/>
        <w:tabs>
          <w:tab w:val="left" w:pos="549"/>
        </w:tabs>
        <w:kinsoku/>
        <w:wordWrap/>
        <w:overflowPunct/>
        <w:topLinePunct w:val="0"/>
        <w:autoSpaceDE/>
        <w:autoSpaceDN/>
        <w:bidi w:val="0"/>
        <w:adjustRightInd/>
        <w:snapToGrid/>
        <w:spacing w:before="0" w:beforeAutospacing="0" w:after="0" w:afterAutospacing="0" w:line="600" w:lineRule="exact"/>
        <w:ind w:firstLine="560"/>
        <w:textAlignment w:val="auto"/>
        <w:rPr>
          <w:rFonts w:hint="eastAsia" w:ascii="楷体_GB2312" w:eastAsia="楷体_GB2312" w:cs="楷体_GB2312"/>
          <w:b/>
          <w:bCs/>
          <w:i w:val="0"/>
          <w:iCs w:val="0"/>
          <w:caps w:val="0"/>
          <w:color w:val="000000"/>
          <w:spacing w:val="0"/>
          <w:sz w:val="32"/>
          <w:szCs w:val="32"/>
          <w:shd w:val="clear" w:fill="FFFFFF"/>
          <w:lang w:val="en-US" w:eastAsia="zh-CN"/>
        </w:rPr>
      </w:pPr>
      <w:r>
        <w:rPr>
          <w:rFonts w:hint="eastAsia" w:ascii="楷体_GB2312" w:eastAsia="楷体_GB2312" w:cs="楷体_GB2312"/>
          <w:b/>
          <w:bCs/>
          <w:i w:val="0"/>
          <w:iCs w:val="0"/>
          <w:caps w:val="0"/>
          <w:color w:val="000000"/>
          <w:spacing w:val="0"/>
          <w:sz w:val="32"/>
          <w:szCs w:val="32"/>
          <w:shd w:val="clear" w:fill="FFFFFF"/>
          <w:lang w:val="en-US" w:eastAsia="zh-CN"/>
        </w:rPr>
        <w:t>（二）采取得力措施减缩开支，向节约要保障</w:t>
      </w:r>
    </w:p>
    <w:p w14:paraId="2D80310C">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rightChars="0" w:firstLine="640" w:firstLineChars="200"/>
        <w:textAlignment w:val="auto"/>
        <w:rPr>
          <w:rFonts w:hint="default" w:ascii="仿宋" w:hAnsi="仿宋" w:eastAsia="仿宋" w:cs="仿宋"/>
          <w:i w:val="0"/>
          <w:iCs w:val="0"/>
          <w:caps w:val="0"/>
          <w:color w:val="3D3D3D"/>
          <w:spacing w:val="0"/>
          <w:kern w:val="0"/>
          <w:sz w:val="32"/>
          <w:szCs w:val="32"/>
          <w:shd w:val="clear" w:fill="FFFFFF"/>
          <w:lang w:val="en-US" w:eastAsia="zh-CN" w:bidi="ar"/>
        </w:rPr>
      </w:pPr>
      <w:r>
        <w:rPr>
          <w:rFonts w:hint="eastAsia" w:ascii="仿宋" w:hAnsi="仿宋" w:eastAsia="仿宋" w:cs="仿宋"/>
          <w:i w:val="0"/>
          <w:iCs w:val="0"/>
          <w:caps w:val="0"/>
          <w:color w:val="3D3D3D"/>
          <w:spacing w:val="0"/>
          <w:kern w:val="0"/>
          <w:sz w:val="32"/>
          <w:szCs w:val="32"/>
          <w:shd w:val="clear" w:fill="FFFFFF"/>
          <w:lang w:val="en-US" w:eastAsia="zh-CN" w:bidi="ar"/>
        </w:rPr>
        <w:t xml:space="preserve">制定具体可行、科学合理的预算计划，围绕年度司法行政工作，结合本部门实际支出情况，本着节约原则进行合理安排，严格核定各项支出指标。压缩经常性开支，严格“三公经费”管理，设备采购严格落实政府采购手续，缓解经费不足的压力。 </w:t>
      </w:r>
    </w:p>
    <w:p w14:paraId="0198C649">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rightChars="0" w:firstLine="640" w:firstLineChars="20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九、其他需要说明的情况</w:t>
      </w:r>
    </w:p>
    <w:p w14:paraId="355D117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仿宋" w:hAnsi="仿宋" w:eastAsia="仿宋" w:cs="仿宋"/>
          <w:i w:val="0"/>
          <w:iCs w:val="0"/>
          <w:caps w:val="0"/>
          <w:color w:val="3D3D3D"/>
          <w:spacing w:val="0"/>
          <w:kern w:val="0"/>
          <w:sz w:val="32"/>
          <w:szCs w:val="32"/>
          <w:shd w:val="clear" w:fill="FFFFFF"/>
          <w:lang w:val="en-US" w:eastAsia="zh-CN" w:bidi="ar"/>
        </w:rPr>
      </w:pPr>
      <w:r>
        <w:rPr>
          <w:rFonts w:hint="eastAsia" w:ascii="黑体" w:hAnsi="黑体" w:eastAsia="黑体" w:cs="黑体"/>
          <w:i w:val="0"/>
          <w:iCs w:val="0"/>
          <w:caps w:val="0"/>
          <w:color w:val="000000"/>
          <w:spacing w:val="0"/>
          <w:sz w:val="32"/>
          <w:szCs w:val="32"/>
          <w:shd w:val="clear" w:fill="FFFFFF"/>
          <w:lang w:val="en-US" w:eastAsia="zh-CN"/>
        </w:rPr>
        <w:t xml:space="preserve"> </w:t>
      </w:r>
      <w:r>
        <w:rPr>
          <w:rFonts w:hint="eastAsia" w:ascii="仿宋" w:hAnsi="仿宋" w:eastAsia="仿宋" w:cs="仿宋"/>
          <w:i w:val="0"/>
          <w:iCs w:val="0"/>
          <w:caps w:val="0"/>
          <w:color w:val="3D3D3D"/>
          <w:spacing w:val="0"/>
          <w:kern w:val="0"/>
          <w:sz w:val="32"/>
          <w:szCs w:val="32"/>
          <w:shd w:val="clear" w:fill="FFFFFF"/>
          <w:lang w:val="en-US" w:eastAsia="zh-CN" w:bidi="ar"/>
        </w:rPr>
        <w:t xml:space="preserve"> 无</w:t>
      </w:r>
    </w:p>
    <w:p w14:paraId="36D58DA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黑体" w:hAnsi="黑体" w:eastAsia="黑体" w:cs="黑体"/>
          <w:i w:val="0"/>
          <w:iCs w:val="0"/>
          <w:caps w:val="0"/>
          <w:color w:val="000000"/>
          <w:spacing w:val="0"/>
          <w:sz w:val="32"/>
          <w:szCs w:val="32"/>
          <w:shd w:val="clear" w:fill="FFFFFF"/>
          <w:lang w:eastAsia="zh-CN"/>
        </w:rPr>
      </w:pPr>
    </w:p>
    <w:p w14:paraId="0719949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黑体" w:hAnsi="黑体" w:eastAsia="黑体" w:cs="黑体"/>
          <w:i w:val="0"/>
          <w:iCs w:val="0"/>
          <w:caps w:val="0"/>
          <w:color w:val="000000"/>
          <w:spacing w:val="0"/>
          <w:sz w:val="32"/>
          <w:szCs w:val="32"/>
          <w:shd w:val="clear" w:fill="FFFFFF"/>
          <w:lang w:eastAsia="zh-CN"/>
        </w:rPr>
      </w:pPr>
    </w:p>
    <w:p w14:paraId="39F3FF0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黑体" w:hAnsi="黑体" w:eastAsia="黑体" w:cs="黑体"/>
          <w:i w:val="0"/>
          <w:iCs w:val="0"/>
          <w:caps w:val="0"/>
          <w:color w:val="000000"/>
          <w:spacing w:val="0"/>
          <w:sz w:val="32"/>
          <w:szCs w:val="32"/>
          <w:shd w:val="clear" w:fill="FFFFFF"/>
          <w:lang w:eastAsia="zh-CN"/>
        </w:rPr>
      </w:pPr>
    </w:p>
    <w:p w14:paraId="0F10679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黑体" w:hAnsi="黑体" w:eastAsia="黑体" w:cs="黑体"/>
          <w:i w:val="0"/>
          <w:iCs w:val="0"/>
          <w:caps w:val="0"/>
          <w:color w:val="000000"/>
          <w:spacing w:val="0"/>
          <w:sz w:val="32"/>
          <w:szCs w:val="32"/>
          <w:shd w:val="clear" w:fill="FFFFFF"/>
          <w:lang w:eastAsia="zh-CN"/>
        </w:rPr>
      </w:pPr>
    </w:p>
    <w:p w14:paraId="480B114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黑体" w:hAnsi="黑体" w:eastAsia="黑体" w:cs="黑体"/>
          <w:i w:val="0"/>
          <w:iCs w:val="0"/>
          <w:caps w:val="0"/>
          <w:color w:val="000000"/>
          <w:spacing w:val="0"/>
          <w:sz w:val="32"/>
          <w:szCs w:val="32"/>
          <w:shd w:val="clear" w:fill="FFFFFF"/>
          <w:lang w:eastAsia="zh-CN"/>
        </w:rPr>
      </w:pPr>
      <w:r>
        <w:rPr>
          <w:rFonts w:hint="eastAsia" w:ascii="黑体" w:hAnsi="黑体" w:eastAsia="黑体" w:cs="黑体"/>
          <w:i w:val="0"/>
          <w:iCs w:val="0"/>
          <w:caps w:val="0"/>
          <w:color w:val="000000"/>
          <w:spacing w:val="0"/>
          <w:sz w:val="32"/>
          <w:szCs w:val="32"/>
          <w:shd w:val="clear" w:fill="FFFFFF"/>
          <w:lang w:eastAsia="zh-CN"/>
        </w:rPr>
        <w:t>附件：</w:t>
      </w:r>
    </w:p>
    <w:p w14:paraId="26583D3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default" w:ascii="仿宋_GB2312" w:eastAsia="仿宋_GB2312" w:cs="仿宋_GB2312"/>
          <w:i w:val="0"/>
          <w:iCs w:val="0"/>
          <w:caps w:val="0"/>
          <w:color w:val="000000"/>
          <w:spacing w:val="0"/>
          <w:sz w:val="32"/>
          <w:szCs w:val="32"/>
          <w:shd w:val="clear" w:fill="FFFFFF"/>
        </w:rPr>
      </w:pPr>
      <w:r>
        <w:rPr>
          <w:rFonts w:hint="eastAsia" w:ascii="仿宋_GB2312" w:eastAsia="仿宋_GB2312" w:cs="仿宋_GB2312"/>
          <w:i w:val="0"/>
          <w:iCs w:val="0"/>
          <w:caps w:val="0"/>
          <w:color w:val="000000"/>
          <w:spacing w:val="0"/>
          <w:sz w:val="32"/>
          <w:szCs w:val="32"/>
          <w:shd w:val="clear" w:fill="FFFFFF"/>
          <w:lang w:val="en-US" w:eastAsia="zh-CN"/>
        </w:rPr>
        <w:t>1.</w:t>
      </w:r>
      <w:r>
        <w:rPr>
          <w:rFonts w:hint="default" w:ascii="仿宋_GB2312" w:eastAsia="仿宋_GB2312" w:cs="仿宋_GB2312"/>
          <w:i w:val="0"/>
          <w:iCs w:val="0"/>
          <w:caps w:val="0"/>
          <w:color w:val="000000"/>
          <w:spacing w:val="0"/>
          <w:sz w:val="32"/>
          <w:szCs w:val="32"/>
          <w:shd w:val="clear" w:fill="FFFFFF"/>
        </w:rPr>
        <w:t>部门整体支出绩效评价基础数据表</w:t>
      </w:r>
      <w:r>
        <w:rPr>
          <w:rFonts w:hint="eastAsia" w:ascii="仿宋_GB2312" w:eastAsia="仿宋_GB2312" w:cs="仿宋_GB2312"/>
          <w:i w:val="0"/>
          <w:iCs w:val="0"/>
          <w:caps w:val="0"/>
          <w:color w:val="000000"/>
          <w:spacing w:val="0"/>
          <w:sz w:val="32"/>
          <w:szCs w:val="32"/>
          <w:shd w:val="clear" w:fill="FFFFFF"/>
          <w:lang w:val="en-US" w:eastAsia="zh-CN"/>
        </w:rPr>
        <w:t xml:space="preserve">  </w:t>
      </w:r>
    </w:p>
    <w:p w14:paraId="1E4D621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default" w:ascii="仿宋_GB2312" w:eastAsia="仿宋_GB2312" w:cs="仿宋_GB2312"/>
          <w:i w:val="0"/>
          <w:iCs w:val="0"/>
          <w:caps w:val="0"/>
          <w:color w:val="000000"/>
          <w:spacing w:val="0"/>
          <w:sz w:val="32"/>
          <w:szCs w:val="32"/>
          <w:shd w:val="clear" w:fill="FFFFFF"/>
        </w:rPr>
      </w:pPr>
      <w:r>
        <w:rPr>
          <w:rFonts w:hint="eastAsia" w:ascii="仿宋_GB2312" w:eastAsia="仿宋_GB2312" w:cs="仿宋_GB2312"/>
          <w:i w:val="0"/>
          <w:iCs w:val="0"/>
          <w:caps w:val="0"/>
          <w:color w:val="000000"/>
          <w:spacing w:val="0"/>
          <w:sz w:val="32"/>
          <w:szCs w:val="32"/>
          <w:shd w:val="clear" w:fill="FFFFFF"/>
          <w:lang w:val="en-US" w:eastAsia="zh-CN"/>
        </w:rPr>
        <w:t>2.</w:t>
      </w:r>
      <w:r>
        <w:rPr>
          <w:rFonts w:hint="default" w:ascii="仿宋_GB2312" w:eastAsia="仿宋_GB2312" w:cs="仿宋_GB2312"/>
          <w:i w:val="0"/>
          <w:iCs w:val="0"/>
          <w:caps w:val="0"/>
          <w:color w:val="000000"/>
          <w:spacing w:val="0"/>
          <w:sz w:val="32"/>
          <w:szCs w:val="32"/>
          <w:shd w:val="clear" w:fill="FFFFFF"/>
        </w:rPr>
        <w:t>部门整体支出绩效自评表</w:t>
      </w:r>
    </w:p>
    <w:p w14:paraId="5FCD563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60" w:lineRule="exact"/>
        <w:ind w:left="0" w:right="0" w:firstLine="480" w:firstLineChars="200"/>
        <w:jc w:val="both"/>
        <w:textAlignment w:val="auto"/>
        <w:rPr>
          <w:rFonts w:hint="default" w:ascii="Calibri" w:hAnsi="Calibri" w:cs="Calibri"/>
          <w:i w:val="0"/>
          <w:iCs w:val="0"/>
          <w:caps w:val="0"/>
          <w:color w:val="000000"/>
          <w:spacing w:val="0"/>
          <w:sz w:val="24"/>
          <w:szCs w:val="24"/>
        </w:rPr>
      </w:pPr>
    </w:p>
    <w:p w14:paraId="2BBAE61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60" w:lineRule="exact"/>
        <w:ind w:left="0" w:right="0" w:firstLine="0"/>
        <w:jc w:val="both"/>
        <w:textAlignment w:val="auto"/>
        <w:rPr>
          <w:rFonts w:hint="default" w:ascii="Calibri" w:hAnsi="Calibri" w:cs="Calibri"/>
          <w:i w:val="0"/>
          <w:iCs w:val="0"/>
          <w:caps w:val="0"/>
          <w:color w:val="000000"/>
          <w:spacing w:val="0"/>
          <w:sz w:val="24"/>
          <w:szCs w:val="24"/>
        </w:rPr>
      </w:pPr>
    </w:p>
    <w:p w14:paraId="3221D8AA">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6A5A404B">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627B4C7C">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68153D88">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501F51AE">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7A9ABC41">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4E3406B6">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29CF12E7">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5BC13329">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43028E58">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11A3F8AE">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3DB1B8C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158F245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5C39ABF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733AE31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14158E9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5EDAE18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0FDCA83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7FD9575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38D7DEA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 xml:space="preserve">附件1-1 </w:t>
      </w:r>
    </w:p>
    <w:p w14:paraId="4743200C">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部门整体支出绩效评价基础数据表</w:t>
      </w:r>
    </w:p>
    <w:p w14:paraId="334EFEF8">
      <w:pPr>
        <w:widowControl/>
        <w:tabs>
          <w:tab w:val="left" w:pos="3611"/>
          <w:tab w:val="left" w:pos="4791"/>
          <w:tab w:val="left" w:pos="5951"/>
          <w:tab w:val="left" w:pos="7071"/>
          <w:tab w:val="left" w:pos="8191"/>
          <w:tab w:val="left" w:pos="9311"/>
        </w:tabs>
        <w:ind w:left="91"/>
        <w:jc w:val="left"/>
        <w:rPr>
          <w:rFonts w:hint="default" w:eastAsia="仿宋_GB2312"/>
          <w:kern w:val="0"/>
          <w:sz w:val="24"/>
          <w:lang w:val="en-US" w:eastAsia="zh-CN"/>
        </w:rPr>
      </w:pPr>
      <w:r>
        <w:rPr>
          <w:rFonts w:hint="eastAsia" w:eastAsia="仿宋_GB2312"/>
          <w:kern w:val="0"/>
          <w:sz w:val="24"/>
          <w:lang w:val="en-US" w:eastAsia="zh-CN"/>
        </w:rPr>
        <w:t xml:space="preserve">填报单位： 怀化市司法局                                       </w:t>
      </w:r>
    </w:p>
    <w:tbl>
      <w:tblPr>
        <w:tblStyle w:val="9"/>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4"/>
        <w:gridCol w:w="1189"/>
        <w:gridCol w:w="849"/>
        <w:gridCol w:w="1129"/>
        <w:gridCol w:w="1111"/>
        <w:gridCol w:w="969"/>
        <w:gridCol w:w="863"/>
      </w:tblGrid>
      <w:tr w14:paraId="510FA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Merge w:val="restart"/>
            <w:noWrap w:val="0"/>
            <w:vAlign w:val="center"/>
          </w:tcPr>
          <w:p w14:paraId="068A3C65">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财政供养人员情况</w:t>
            </w:r>
          </w:p>
        </w:tc>
        <w:tc>
          <w:tcPr>
            <w:tcW w:w="2038" w:type="dxa"/>
            <w:gridSpan w:val="2"/>
            <w:noWrap w:val="0"/>
            <w:vAlign w:val="center"/>
          </w:tcPr>
          <w:p w14:paraId="7D673B8B">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编制数</w:t>
            </w:r>
          </w:p>
        </w:tc>
        <w:tc>
          <w:tcPr>
            <w:tcW w:w="2240" w:type="dxa"/>
            <w:gridSpan w:val="2"/>
            <w:noWrap w:val="0"/>
            <w:vAlign w:val="center"/>
          </w:tcPr>
          <w:p w14:paraId="04AF210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年实际在职人数</w:t>
            </w:r>
          </w:p>
        </w:tc>
        <w:tc>
          <w:tcPr>
            <w:tcW w:w="1832" w:type="dxa"/>
            <w:gridSpan w:val="2"/>
            <w:noWrap w:val="0"/>
            <w:vAlign w:val="center"/>
          </w:tcPr>
          <w:p w14:paraId="2E89652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控制率</w:t>
            </w:r>
          </w:p>
        </w:tc>
      </w:tr>
      <w:tr w14:paraId="489A9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3354" w:type="dxa"/>
            <w:vMerge w:val="continue"/>
            <w:noWrap w:val="0"/>
            <w:vAlign w:val="center"/>
          </w:tcPr>
          <w:p w14:paraId="3260E74B">
            <w:pPr>
              <w:widowControl/>
              <w:jc w:val="left"/>
              <w:rPr>
                <w:rFonts w:hint="eastAsia" w:ascii="仿宋" w:hAnsi="仿宋" w:eastAsia="仿宋" w:cs="仿宋"/>
                <w:b w:val="0"/>
                <w:bCs w:val="0"/>
                <w:kern w:val="0"/>
                <w:sz w:val="20"/>
                <w:szCs w:val="20"/>
              </w:rPr>
            </w:pPr>
          </w:p>
        </w:tc>
        <w:tc>
          <w:tcPr>
            <w:tcW w:w="2038" w:type="dxa"/>
            <w:gridSpan w:val="2"/>
            <w:noWrap w:val="0"/>
            <w:vAlign w:val="center"/>
          </w:tcPr>
          <w:p w14:paraId="213CDC1F">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76</w:t>
            </w:r>
          </w:p>
        </w:tc>
        <w:tc>
          <w:tcPr>
            <w:tcW w:w="2240" w:type="dxa"/>
            <w:gridSpan w:val="2"/>
            <w:noWrap w:val="0"/>
            <w:vAlign w:val="center"/>
          </w:tcPr>
          <w:p w14:paraId="27CB5E4B">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72</w:t>
            </w:r>
            <w:r>
              <w:rPr>
                <w:rFonts w:hint="eastAsia" w:ascii="仿宋" w:hAnsi="仿宋" w:eastAsia="仿宋" w:cs="仿宋"/>
                <w:b w:val="0"/>
                <w:bCs w:val="0"/>
                <w:kern w:val="0"/>
                <w:sz w:val="20"/>
                <w:szCs w:val="20"/>
              </w:rPr>
              <w:t>　</w:t>
            </w:r>
          </w:p>
        </w:tc>
        <w:tc>
          <w:tcPr>
            <w:tcW w:w="1832" w:type="dxa"/>
            <w:gridSpan w:val="2"/>
            <w:noWrap w:val="0"/>
            <w:vAlign w:val="center"/>
          </w:tcPr>
          <w:p w14:paraId="19E45ED8">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94.74%</w:t>
            </w:r>
          </w:p>
        </w:tc>
      </w:tr>
      <w:tr w14:paraId="3599C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118C3D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经费控制情况</w:t>
            </w:r>
          </w:p>
        </w:tc>
        <w:tc>
          <w:tcPr>
            <w:tcW w:w="2038" w:type="dxa"/>
            <w:gridSpan w:val="2"/>
            <w:noWrap w:val="0"/>
            <w:vAlign w:val="center"/>
          </w:tcPr>
          <w:p w14:paraId="63096C5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22</w:t>
            </w:r>
            <w:r>
              <w:rPr>
                <w:rFonts w:hint="eastAsia" w:ascii="仿宋" w:hAnsi="仿宋" w:eastAsia="仿宋" w:cs="仿宋"/>
                <w:b w:val="0"/>
                <w:bCs w:val="0"/>
                <w:kern w:val="0"/>
                <w:sz w:val="20"/>
                <w:szCs w:val="20"/>
              </w:rPr>
              <w:t>年决算数</w:t>
            </w:r>
          </w:p>
        </w:tc>
        <w:tc>
          <w:tcPr>
            <w:tcW w:w="2240" w:type="dxa"/>
            <w:gridSpan w:val="2"/>
            <w:noWrap w:val="0"/>
            <w:vAlign w:val="center"/>
          </w:tcPr>
          <w:p w14:paraId="7F5CC43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年预算数</w:t>
            </w:r>
          </w:p>
        </w:tc>
        <w:tc>
          <w:tcPr>
            <w:tcW w:w="1832" w:type="dxa"/>
            <w:gridSpan w:val="2"/>
            <w:noWrap w:val="0"/>
            <w:vAlign w:val="center"/>
          </w:tcPr>
          <w:p w14:paraId="6733AD8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年决算数</w:t>
            </w:r>
          </w:p>
        </w:tc>
      </w:tr>
      <w:tr w14:paraId="24DE0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50DF386">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三公经费</w:t>
            </w:r>
          </w:p>
        </w:tc>
        <w:tc>
          <w:tcPr>
            <w:tcW w:w="2038" w:type="dxa"/>
            <w:gridSpan w:val="2"/>
            <w:noWrap w:val="0"/>
            <w:vAlign w:val="center"/>
          </w:tcPr>
          <w:p w14:paraId="06A4CD3C">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23.8</w:t>
            </w:r>
          </w:p>
        </w:tc>
        <w:tc>
          <w:tcPr>
            <w:tcW w:w="2240" w:type="dxa"/>
            <w:gridSpan w:val="2"/>
            <w:noWrap w:val="0"/>
            <w:vAlign w:val="center"/>
          </w:tcPr>
          <w:p w14:paraId="2F866728">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21</w:t>
            </w:r>
          </w:p>
        </w:tc>
        <w:tc>
          <w:tcPr>
            <w:tcW w:w="1832" w:type="dxa"/>
            <w:gridSpan w:val="2"/>
            <w:noWrap w:val="0"/>
            <w:vAlign w:val="center"/>
          </w:tcPr>
          <w:p w14:paraId="22586DB9">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20.60</w:t>
            </w:r>
          </w:p>
        </w:tc>
      </w:tr>
      <w:tr w14:paraId="51BA8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1B768B5">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1、公务用车购置和维护经费</w:t>
            </w:r>
          </w:p>
        </w:tc>
        <w:tc>
          <w:tcPr>
            <w:tcW w:w="2038" w:type="dxa"/>
            <w:gridSpan w:val="2"/>
            <w:noWrap w:val="0"/>
            <w:vAlign w:val="center"/>
          </w:tcPr>
          <w:p w14:paraId="6CA4BCB8">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20.34</w:t>
            </w:r>
          </w:p>
        </w:tc>
        <w:tc>
          <w:tcPr>
            <w:tcW w:w="2240" w:type="dxa"/>
            <w:gridSpan w:val="2"/>
            <w:noWrap w:val="0"/>
            <w:vAlign w:val="center"/>
          </w:tcPr>
          <w:p w14:paraId="05D0732C">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15</w:t>
            </w:r>
            <w:r>
              <w:rPr>
                <w:rFonts w:hint="eastAsia" w:ascii="仿宋" w:hAnsi="仿宋" w:eastAsia="仿宋" w:cs="仿宋"/>
                <w:b w:val="0"/>
                <w:bCs w:val="0"/>
                <w:kern w:val="0"/>
                <w:sz w:val="20"/>
                <w:szCs w:val="20"/>
              </w:rPr>
              <w:t>　</w:t>
            </w:r>
          </w:p>
        </w:tc>
        <w:tc>
          <w:tcPr>
            <w:tcW w:w="1832" w:type="dxa"/>
            <w:gridSpan w:val="2"/>
            <w:noWrap w:val="0"/>
            <w:vAlign w:val="center"/>
          </w:tcPr>
          <w:p w14:paraId="3236ED1D">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17.39</w:t>
            </w:r>
          </w:p>
        </w:tc>
      </w:tr>
      <w:tr w14:paraId="0D084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4C902B6">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其中：公车购置</w:t>
            </w:r>
          </w:p>
        </w:tc>
        <w:tc>
          <w:tcPr>
            <w:tcW w:w="2038" w:type="dxa"/>
            <w:gridSpan w:val="2"/>
            <w:noWrap w:val="0"/>
            <w:vAlign w:val="center"/>
          </w:tcPr>
          <w:p w14:paraId="04B8316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21219FB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1AA3561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44831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19A28C94">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公车运行维护</w:t>
            </w:r>
          </w:p>
        </w:tc>
        <w:tc>
          <w:tcPr>
            <w:tcW w:w="2038" w:type="dxa"/>
            <w:gridSpan w:val="2"/>
            <w:noWrap w:val="0"/>
            <w:vAlign w:val="center"/>
          </w:tcPr>
          <w:p w14:paraId="16D5928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20.34</w:t>
            </w:r>
            <w:r>
              <w:rPr>
                <w:rFonts w:hint="eastAsia" w:ascii="仿宋" w:hAnsi="仿宋" w:eastAsia="仿宋" w:cs="仿宋"/>
                <w:b w:val="0"/>
                <w:bCs w:val="0"/>
                <w:kern w:val="0"/>
                <w:sz w:val="20"/>
                <w:szCs w:val="20"/>
              </w:rPr>
              <w:t>　</w:t>
            </w:r>
          </w:p>
        </w:tc>
        <w:tc>
          <w:tcPr>
            <w:tcW w:w="2240" w:type="dxa"/>
            <w:gridSpan w:val="2"/>
            <w:noWrap w:val="0"/>
            <w:vAlign w:val="center"/>
          </w:tcPr>
          <w:p w14:paraId="041F2EA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15</w:t>
            </w:r>
            <w:r>
              <w:rPr>
                <w:rFonts w:hint="eastAsia" w:ascii="仿宋" w:hAnsi="仿宋" w:eastAsia="仿宋" w:cs="仿宋"/>
                <w:b w:val="0"/>
                <w:bCs w:val="0"/>
                <w:kern w:val="0"/>
                <w:sz w:val="20"/>
                <w:szCs w:val="20"/>
              </w:rPr>
              <w:t>　</w:t>
            </w:r>
          </w:p>
        </w:tc>
        <w:tc>
          <w:tcPr>
            <w:tcW w:w="1832" w:type="dxa"/>
            <w:gridSpan w:val="2"/>
            <w:noWrap w:val="0"/>
            <w:vAlign w:val="center"/>
          </w:tcPr>
          <w:p w14:paraId="3D36F6EC">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17.39</w:t>
            </w:r>
            <w:r>
              <w:rPr>
                <w:rFonts w:hint="eastAsia" w:ascii="仿宋" w:hAnsi="仿宋" w:eastAsia="仿宋" w:cs="仿宋"/>
                <w:b w:val="0"/>
                <w:bCs w:val="0"/>
                <w:kern w:val="0"/>
                <w:sz w:val="20"/>
                <w:szCs w:val="20"/>
              </w:rPr>
              <w:t>　</w:t>
            </w:r>
          </w:p>
        </w:tc>
      </w:tr>
      <w:tr w14:paraId="00D2B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385708D">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2、出国经费</w:t>
            </w:r>
          </w:p>
        </w:tc>
        <w:tc>
          <w:tcPr>
            <w:tcW w:w="2038" w:type="dxa"/>
            <w:gridSpan w:val="2"/>
            <w:noWrap w:val="0"/>
            <w:vAlign w:val="center"/>
          </w:tcPr>
          <w:p w14:paraId="09694CB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1357826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1D0F3F2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2C5B3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1F6E5727">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3、公务接待</w:t>
            </w:r>
          </w:p>
        </w:tc>
        <w:tc>
          <w:tcPr>
            <w:tcW w:w="2038" w:type="dxa"/>
            <w:gridSpan w:val="2"/>
            <w:noWrap w:val="0"/>
            <w:vAlign w:val="center"/>
          </w:tcPr>
          <w:p w14:paraId="6F39C8C4">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3.46</w:t>
            </w:r>
            <w:r>
              <w:rPr>
                <w:rFonts w:hint="eastAsia" w:ascii="仿宋" w:hAnsi="仿宋" w:eastAsia="仿宋" w:cs="仿宋"/>
                <w:b w:val="0"/>
                <w:bCs w:val="0"/>
                <w:kern w:val="0"/>
                <w:sz w:val="20"/>
                <w:szCs w:val="20"/>
              </w:rPr>
              <w:t>　</w:t>
            </w:r>
          </w:p>
        </w:tc>
        <w:tc>
          <w:tcPr>
            <w:tcW w:w="2240" w:type="dxa"/>
            <w:gridSpan w:val="2"/>
            <w:noWrap w:val="0"/>
            <w:vAlign w:val="center"/>
          </w:tcPr>
          <w:p w14:paraId="71CD236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6</w:t>
            </w:r>
            <w:r>
              <w:rPr>
                <w:rFonts w:hint="eastAsia" w:ascii="仿宋" w:hAnsi="仿宋" w:eastAsia="仿宋" w:cs="仿宋"/>
                <w:b w:val="0"/>
                <w:bCs w:val="0"/>
                <w:kern w:val="0"/>
                <w:sz w:val="20"/>
                <w:szCs w:val="20"/>
              </w:rPr>
              <w:t>　</w:t>
            </w:r>
          </w:p>
        </w:tc>
        <w:tc>
          <w:tcPr>
            <w:tcW w:w="1832" w:type="dxa"/>
            <w:gridSpan w:val="2"/>
            <w:noWrap w:val="0"/>
            <w:vAlign w:val="center"/>
          </w:tcPr>
          <w:p w14:paraId="6A4F61EE">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3.21</w:t>
            </w:r>
          </w:p>
        </w:tc>
      </w:tr>
      <w:tr w14:paraId="0552A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A7D03FD">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项目支出：</w:t>
            </w:r>
          </w:p>
        </w:tc>
        <w:tc>
          <w:tcPr>
            <w:tcW w:w="2038" w:type="dxa"/>
            <w:gridSpan w:val="2"/>
            <w:noWrap w:val="0"/>
            <w:vAlign w:val="center"/>
          </w:tcPr>
          <w:p w14:paraId="3549B7A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74AB15E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77A6515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6C124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2861FB4">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1、业务工作经费</w:t>
            </w:r>
          </w:p>
        </w:tc>
        <w:tc>
          <w:tcPr>
            <w:tcW w:w="2038" w:type="dxa"/>
            <w:gridSpan w:val="2"/>
            <w:noWrap w:val="0"/>
            <w:vAlign w:val="center"/>
          </w:tcPr>
          <w:p w14:paraId="3ABE823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0D13CEC3">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22595F4F">
            <w:pPr>
              <w:widowControl/>
              <w:jc w:val="center"/>
              <w:rPr>
                <w:rFonts w:hint="eastAsia" w:ascii="仿宋" w:hAnsi="仿宋" w:eastAsia="仿宋" w:cs="仿宋"/>
                <w:b w:val="0"/>
                <w:bCs w:val="0"/>
                <w:kern w:val="0"/>
                <w:sz w:val="20"/>
                <w:szCs w:val="20"/>
              </w:rPr>
            </w:pPr>
          </w:p>
        </w:tc>
      </w:tr>
      <w:tr w14:paraId="03AA4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D30E5C5">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2、运行维护经费</w:t>
            </w:r>
          </w:p>
        </w:tc>
        <w:tc>
          <w:tcPr>
            <w:tcW w:w="2038" w:type="dxa"/>
            <w:gridSpan w:val="2"/>
            <w:noWrap w:val="0"/>
            <w:vAlign w:val="center"/>
          </w:tcPr>
          <w:p w14:paraId="082BA9B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4D1032C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42BDB004">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30F60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2DE09D18">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3、</w:t>
            </w:r>
            <w:r>
              <w:rPr>
                <w:rFonts w:hint="eastAsia" w:ascii="仿宋" w:hAnsi="仿宋" w:eastAsia="仿宋" w:cs="仿宋"/>
                <w:b w:val="0"/>
                <w:bCs w:val="0"/>
                <w:kern w:val="0"/>
                <w:sz w:val="20"/>
                <w:szCs w:val="20"/>
                <w:lang w:val="en-US" w:eastAsia="zh-CN"/>
              </w:rPr>
              <w:t>市级</w:t>
            </w:r>
            <w:r>
              <w:rPr>
                <w:rFonts w:hint="eastAsia" w:ascii="仿宋" w:hAnsi="仿宋" w:eastAsia="仿宋" w:cs="仿宋"/>
                <w:b w:val="0"/>
                <w:bCs w:val="0"/>
                <w:kern w:val="0"/>
                <w:sz w:val="20"/>
                <w:szCs w:val="20"/>
              </w:rPr>
              <w:t>专项资金</w:t>
            </w:r>
          </w:p>
          <w:p w14:paraId="42152481">
            <w:pPr>
              <w:widowControl/>
              <w:ind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（一个专项一行）</w:t>
            </w:r>
          </w:p>
        </w:tc>
        <w:tc>
          <w:tcPr>
            <w:tcW w:w="2038" w:type="dxa"/>
            <w:gridSpan w:val="2"/>
            <w:noWrap w:val="0"/>
            <w:vAlign w:val="center"/>
          </w:tcPr>
          <w:p w14:paraId="2532D509">
            <w:pPr>
              <w:widowControl/>
              <w:jc w:val="center"/>
              <w:rPr>
                <w:rFonts w:hint="eastAsia" w:ascii="仿宋" w:hAnsi="仿宋" w:eastAsia="仿宋" w:cs="仿宋"/>
                <w:b w:val="0"/>
                <w:bCs w:val="0"/>
                <w:kern w:val="0"/>
                <w:sz w:val="20"/>
                <w:szCs w:val="20"/>
              </w:rPr>
            </w:pPr>
          </w:p>
        </w:tc>
        <w:tc>
          <w:tcPr>
            <w:tcW w:w="2240" w:type="dxa"/>
            <w:gridSpan w:val="2"/>
            <w:noWrap w:val="0"/>
            <w:vAlign w:val="center"/>
          </w:tcPr>
          <w:p w14:paraId="3D660A58">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06246B4E">
            <w:pPr>
              <w:widowControl/>
              <w:jc w:val="center"/>
              <w:rPr>
                <w:rFonts w:hint="eastAsia" w:ascii="仿宋" w:hAnsi="仿宋" w:eastAsia="仿宋" w:cs="仿宋"/>
                <w:b w:val="0"/>
                <w:bCs w:val="0"/>
                <w:kern w:val="0"/>
                <w:sz w:val="20"/>
                <w:szCs w:val="20"/>
              </w:rPr>
            </w:pPr>
          </w:p>
        </w:tc>
      </w:tr>
      <w:tr w14:paraId="5835F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5BC1F029">
            <w:pPr>
              <w:widowControl/>
              <w:ind w:firstLine="600" w:firstLineChars="3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专项业务工作经费</w:t>
            </w:r>
          </w:p>
        </w:tc>
        <w:tc>
          <w:tcPr>
            <w:tcW w:w="2038" w:type="dxa"/>
            <w:gridSpan w:val="2"/>
            <w:noWrap w:val="0"/>
            <w:vAlign w:val="center"/>
          </w:tcPr>
          <w:p w14:paraId="5B382757">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54.85</w:t>
            </w:r>
          </w:p>
        </w:tc>
        <w:tc>
          <w:tcPr>
            <w:tcW w:w="2240" w:type="dxa"/>
            <w:gridSpan w:val="2"/>
            <w:noWrap w:val="0"/>
            <w:vAlign w:val="center"/>
          </w:tcPr>
          <w:p w14:paraId="0C59005A">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48</w:t>
            </w:r>
          </w:p>
        </w:tc>
        <w:tc>
          <w:tcPr>
            <w:tcW w:w="1832" w:type="dxa"/>
            <w:gridSpan w:val="2"/>
            <w:noWrap w:val="0"/>
            <w:vAlign w:val="center"/>
          </w:tcPr>
          <w:p w14:paraId="1EF795C7">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45.7</w:t>
            </w:r>
          </w:p>
        </w:tc>
      </w:tr>
      <w:tr w14:paraId="13A6C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3354" w:type="dxa"/>
            <w:noWrap w:val="0"/>
            <w:vAlign w:val="center"/>
          </w:tcPr>
          <w:p w14:paraId="5F12022B">
            <w:pPr>
              <w:widowControl/>
              <w:ind w:firstLine="600" w:firstLineChars="300"/>
              <w:jc w:val="left"/>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立法经费</w:t>
            </w:r>
          </w:p>
        </w:tc>
        <w:tc>
          <w:tcPr>
            <w:tcW w:w="2038" w:type="dxa"/>
            <w:gridSpan w:val="2"/>
            <w:noWrap w:val="0"/>
            <w:vAlign w:val="center"/>
          </w:tcPr>
          <w:p w14:paraId="2C23D40C">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12</w:t>
            </w:r>
          </w:p>
        </w:tc>
        <w:tc>
          <w:tcPr>
            <w:tcW w:w="2240" w:type="dxa"/>
            <w:gridSpan w:val="2"/>
            <w:noWrap w:val="0"/>
            <w:vAlign w:val="center"/>
          </w:tcPr>
          <w:p w14:paraId="0F3D4F99">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w:t>
            </w:r>
          </w:p>
        </w:tc>
        <w:tc>
          <w:tcPr>
            <w:tcW w:w="1832" w:type="dxa"/>
            <w:gridSpan w:val="2"/>
            <w:noWrap w:val="0"/>
            <w:vAlign w:val="center"/>
          </w:tcPr>
          <w:p w14:paraId="078B79E9">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w:t>
            </w:r>
          </w:p>
        </w:tc>
      </w:tr>
      <w:tr w14:paraId="63201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458DB4D3">
            <w:pPr>
              <w:widowControl/>
              <w:ind w:firstLine="600" w:firstLineChars="300"/>
              <w:jc w:val="left"/>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lang w:eastAsia="zh-CN"/>
              </w:rPr>
              <w:t>行政复议与应诉及依法行政经费</w:t>
            </w:r>
          </w:p>
        </w:tc>
        <w:tc>
          <w:tcPr>
            <w:tcW w:w="2038" w:type="dxa"/>
            <w:gridSpan w:val="2"/>
            <w:noWrap w:val="0"/>
            <w:vAlign w:val="center"/>
          </w:tcPr>
          <w:p w14:paraId="28B2C8B8">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30</w:t>
            </w:r>
          </w:p>
        </w:tc>
        <w:tc>
          <w:tcPr>
            <w:tcW w:w="2240" w:type="dxa"/>
            <w:gridSpan w:val="2"/>
            <w:noWrap w:val="0"/>
            <w:vAlign w:val="center"/>
          </w:tcPr>
          <w:p w14:paraId="1C17BB37">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25</w:t>
            </w:r>
          </w:p>
        </w:tc>
        <w:tc>
          <w:tcPr>
            <w:tcW w:w="1832" w:type="dxa"/>
            <w:gridSpan w:val="2"/>
            <w:noWrap w:val="0"/>
            <w:vAlign w:val="center"/>
          </w:tcPr>
          <w:p w14:paraId="0BB904AF">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25</w:t>
            </w:r>
          </w:p>
        </w:tc>
      </w:tr>
      <w:tr w14:paraId="711AB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2FA9E163">
            <w:pPr>
              <w:widowControl/>
              <w:ind w:firstLine="600" w:firstLineChars="300"/>
              <w:jc w:val="left"/>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lang w:eastAsia="zh-CN"/>
              </w:rPr>
              <w:t>人民监督员经费</w:t>
            </w:r>
          </w:p>
        </w:tc>
        <w:tc>
          <w:tcPr>
            <w:tcW w:w="2038" w:type="dxa"/>
            <w:gridSpan w:val="2"/>
            <w:noWrap w:val="0"/>
            <w:vAlign w:val="center"/>
          </w:tcPr>
          <w:p w14:paraId="5D440A10">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12</w:t>
            </w:r>
          </w:p>
        </w:tc>
        <w:tc>
          <w:tcPr>
            <w:tcW w:w="2240" w:type="dxa"/>
            <w:gridSpan w:val="2"/>
            <w:noWrap w:val="0"/>
            <w:vAlign w:val="center"/>
          </w:tcPr>
          <w:p w14:paraId="1203DE3D">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w:t>
            </w:r>
          </w:p>
        </w:tc>
        <w:tc>
          <w:tcPr>
            <w:tcW w:w="1832" w:type="dxa"/>
            <w:gridSpan w:val="2"/>
            <w:noWrap w:val="0"/>
            <w:vAlign w:val="center"/>
          </w:tcPr>
          <w:p w14:paraId="6CBAA373">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w:t>
            </w:r>
          </w:p>
        </w:tc>
      </w:tr>
      <w:tr w14:paraId="39EC5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4CB150C8">
            <w:pPr>
              <w:widowControl/>
              <w:ind w:firstLine="600" w:firstLineChars="300"/>
              <w:jc w:val="left"/>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lang w:eastAsia="zh-CN"/>
              </w:rPr>
              <w:t>人民调解“以奖代补”经费</w:t>
            </w:r>
          </w:p>
        </w:tc>
        <w:tc>
          <w:tcPr>
            <w:tcW w:w="2038" w:type="dxa"/>
            <w:gridSpan w:val="2"/>
            <w:noWrap w:val="0"/>
            <w:vAlign w:val="center"/>
          </w:tcPr>
          <w:p w14:paraId="54052FFF">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20</w:t>
            </w:r>
          </w:p>
        </w:tc>
        <w:tc>
          <w:tcPr>
            <w:tcW w:w="2240" w:type="dxa"/>
            <w:gridSpan w:val="2"/>
            <w:noWrap w:val="0"/>
            <w:vAlign w:val="center"/>
          </w:tcPr>
          <w:p w14:paraId="2D226332">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w:t>
            </w:r>
          </w:p>
        </w:tc>
        <w:tc>
          <w:tcPr>
            <w:tcW w:w="1832" w:type="dxa"/>
            <w:gridSpan w:val="2"/>
            <w:noWrap w:val="0"/>
            <w:vAlign w:val="center"/>
          </w:tcPr>
          <w:p w14:paraId="38E5F1C1">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w:t>
            </w:r>
          </w:p>
        </w:tc>
      </w:tr>
      <w:tr w14:paraId="1C72A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085AF193">
            <w:pPr>
              <w:widowControl/>
              <w:ind w:firstLine="600" w:firstLineChars="300"/>
              <w:jc w:val="left"/>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lang w:eastAsia="zh-CN"/>
              </w:rPr>
              <w:t>普法经费</w:t>
            </w:r>
          </w:p>
        </w:tc>
        <w:tc>
          <w:tcPr>
            <w:tcW w:w="2038" w:type="dxa"/>
            <w:gridSpan w:val="2"/>
            <w:noWrap w:val="0"/>
            <w:vAlign w:val="center"/>
          </w:tcPr>
          <w:p w14:paraId="7D534188">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75</w:t>
            </w:r>
          </w:p>
        </w:tc>
        <w:tc>
          <w:tcPr>
            <w:tcW w:w="2240" w:type="dxa"/>
            <w:gridSpan w:val="2"/>
            <w:noWrap w:val="0"/>
            <w:vAlign w:val="center"/>
          </w:tcPr>
          <w:p w14:paraId="1F237A98">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62.5</w:t>
            </w:r>
          </w:p>
        </w:tc>
        <w:tc>
          <w:tcPr>
            <w:tcW w:w="1832" w:type="dxa"/>
            <w:gridSpan w:val="2"/>
            <w:noWrap w:val="0"/>
            <w:vAlign w:val="center"/>
          </w:tcPr>
          <w:p w14:paraId="7A0BA639">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62.5</w:t>
            </w:r>
          </w:p>
        </w:tc>
      </w:tr>
      <w:tr w14:paraId="43E9B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265E173E">
            <w:pPr>
              <w:widowControl/>
              <w:ind w:firstLine="600" w:firstLineChars="300"/>
              <w:jc w:val="left"/>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lang w:eastAsia="zh-CN"/>
              </w:rPr>
              <w:t>政府法律顾问经费</w:t>
            </w:r>
          </w:p>
        </w:tc>
        <w:tc>
          <w:tcPr>
            <w:tcW w:w="2038" w:type="dxa"/>
            <w:gridSpan w:val="2"/>
            <w:noWrap w:val="0"/>
            <w:vAlign w:val="center"/>
          </w:tcPr>
          <w:p w14:paraId="42CB51B6">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15</w:t>
            </w:r>
          </w:p>
        </w:tc>
        <w:tc>
          <w:tcPr>
            <w:tcW w:w="2240" w:type="dxa"/>
            <w:gridSpan w:val="2"/>
            <w:noWrap w:val="0"/>
            <w:vAlign w:val="center"/>
          </w:tcPr>
          <w:p w14:paraId="4583F807">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12.5</w:t>
            </w:r>
          </w:p>
        </w:tc>
        <w:tc>
          <w:tcPr>
            <w:tcW w:w="1832" w:type="dxa"/>
            <w:gridSpan w:val="2"/>
            <w:noWrap w:val="0"/>
            <w:vAlign w:val="center"/>
          </w:tcPr>
          <w:p w14:paraId="07E7271E">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12.5</w:t>
            </w:r>
          </w:p>
        </w:tc>
      </w:tr>
      <w:tr w14:paraId="0571A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6AF02198">
            <w:pPr>
              <w:widowControl/>
              <w:ind w:firstLine="600" w:firstLineChars="300"/>
              <w:jc w:val="left"/>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lang w:eastAsia="zh-CN"/>
              </w:rPr>
              <w:t>法律援助</w:t>
            </w:r>
          </w:p>
        </w:tc>
        <w:tc>
          <w:tcPr>
            <w:tcW w:w="2038" w:type="dxa"/>
            <w:gridSpan w:val="2"/>
            <w:noWrap w:val="0"/>
            <w:vAlign w:val="center"/>
          </w:tcPr>
          <w:p w14:paraId="3F353CF1">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109</w:t>
            </w:r>
          </w:p>
        </w:tc>
        <w:tc>
          <w:tcPr>
            <w:tcW w:w="2240" w:type="dxa"/>
            <w:gridSpan w:val="2"/>
            <w:noWrap w:val="0"/>
            <w:vAlign w:val="center"/>
          </w:tcPr>
          <w:p w14:paraId="73F65488">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105</w:t>
            </w:r>
          </w:p>
        </w:tc>
        <w:tc>
          <w:tcPr>
            <w:tcW w:w="1832" w:type="dxa"/>
            <w:gridSpan w:val="2"/>
            <w:noWrap w:val="0"/>
            <w:vAlign w:val="center"/>
          </w:tcPr>
          <w:p w14:paraId="0BFB677C">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115.53</w:t>
            </w:r>
          </w:p>
        </w:tc>
      </w:tr>
      <w:tr w14:paraId="20402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0FD6A3F6">
            <w:pPr>
              <w:widowControl/>
              <w:ind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国家统一法律职业资格考试经费</w:t>
            </w:r>
          </w:p>
        </w:tc>
        <w:tc>
          <w:tcPr>
            <w:tcW w:w="2038" w:type="dxa"/>
            <w:gridSpan w:val="2"/>
            <w:noWrap w:val="0"/>
            <w:vAlign w:val="center"/>
          </w:tcPr>
          <w:p w14:paraId="60C3D1D2">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20</w:t>
            </w:r>
          </w:p>
        </w:tc>
        <w:tc>
          <w:tcPr>
            <w:tcW w:w="2240" w:type="dxa"/>
            <w:gridSpan w:val="2"/>
            <w:noWrap w:val="0"/>
            <w:vAlign w:val="center"/>
          </w:tcPr>
          <w:p w14:paraId="1526A8E0">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37</w:t>
            </w:r>
          </w:p>
        </w:tc>
        <w:tc>
          <w:tcPr>
            <w:tcW w:w="1832" w:type="dxa"/>
            <w:gridSpan w:val="2"/>
            <w:noWrap w:val="0"/>
            <w:vAlign w:val="center"/>
          </w:tcPr>
          <w:p w14:paraId="25F12883">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37</w:t>
            </w:r>
          </w:p>
        </w:tc>
      </w:tr>
      <w:tr w14:paraId="76AD8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44A5D3AA">
            <w:pPr>
              <w:widowControl/>
              <w:ind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国家统一法律职业资格考试基地建设经费</w:t>
            </w:r>
          </w:p>
        </w:tc>
        <w:tc>
          <w:tcPr>
            <w:tcW w:w="2038" w:type="dxa"/>
            <w:gridSpan w:val="2"/>
            <w:noWrap w:val="0"/>
            <w:vAlign w:val="center"/>
          </w:tcPr>
          <w:p w14:paraId="0A5D1D9E">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90</w:t>
            </w:r>
          </w:p>
        </w:tc>
        <w:tc>
          <w:tcPr>
            <w:tcW w:w="2240" w:type="dxa"/>
            <w:gridSpan w:val="2"/>
            <w:noWrap w:val="0"/>
            <w:vAlign w:val="center"/>
          </w:tcPr>
          <w:p w14:paraId="26D86F72">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90</w:t>
            </w:r>
          </w:p>
        </w:tc>
        <w:tc>
          <w:tcPr>
            <w:tcW w:w="1832" w:type="dxa"/>
            <w:gridSpan w:val="2"/>
            <w:noWrap w:val="0"/>
            <w:vAlign w:val="center"/>
          </w:tcPr>
          <w:p w14:paraId="2DBE8190">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90</w:t>
            </w:r>
          </w:p>
        </w:tc>
      </w:tr>
      <w:tr w14:paraId="6DBD6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04D2E266">
            <w:pPr>
              <w:widowControl/>
              <w:ind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社区矫正购买服务经费</w:t>
            </w:r>
          </w:p>
        </w:tc>
        <w:tc>
          <w:tcPr>
            <w:tcW w:w="2038" w:type="dxa"/>
            <w:gridSpan w:val="2"/>
            <w:noWrap w:val="0"/>
            <w:vAlign w:val="center"/>
          </w:tcPr>
          <w:p w14:paraId="7E8FE3AA">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20</w:t>
            </w:r>
          </w:p>
        </w:tc>
        <w:tc>
          <w:tcPr>
            <w:tcW w:w="2240" w:type="dxa"/>
            <w:gridSpan w:val="2"/>
            <w:noWrap w:val="0"/>
            <w:vAlign w:val="center"/>
          </w:tcPr>
          <w:p w14:paraId="100B9601">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20</w:t>
            </w:r>
          </w:p>
        </w:tc>
        <w:tc>
          <w:tcPr>
            <w:tcW w:w="1832" w:type="dxa"/>
            <w:gridSpan w:val="2"/>
            <w:noWrap w:val="0"/>
            <w:vAlign w:val="center"/>
          </w:tcPr>
          <w:p w14:paraId="22FE6DE6">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20</w:t>
            </w:r>
          </w:p>
        </w:tc>
      </w:tr>
      <w:tr w14:paraId="6CAEB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C33AAC7">
            <w:pPr>
              <w:widowControl/>
              <w:ind w:firstLine="400" w:firstLineChars="200"/>
              <w:jc w:val="center"/>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lang w:eastAsia="zh-CN"/>
              </w:rPr>
              <w:t>部分项目涉密不能公示</w:t>
            </w:r>
          </w:p>
        </w:tc>
        <w:tc>
          <w:tcPr>
            <w:tcW w:w="2038" w:type="dxa"/>
            <w:gridSpan w:val="2"/>
            <w:noWrap w:val="0"/>
            <w:vAlign w:val="center"/>
          </w:tcPr>
          <w:p w14:paraId="40BA4C9D">
            <w:pPr>
              <w:widowControl/>
              <w:jc w:val="center"/>
              <w:rPr>
                <w:rFonts w:hint="eastAsia" w:ascii="仿宋" w:hAnsi="仿宋" w:eastAsia="仿宋" w:cs="仿宋"/>
                <w:b w:val="0"/>
                <w:bCs w:val="0"/>
                <w:kern w:val="0"/>
                <w:sz w:val="20"/>
                <w:szCs w:val="20"/>
              </w:rPr>
            </w:pPr>
          </w:p>
        </w:tc>
        <w:tc>
          <w:tcPr>
            <w:tcW w:w="2240" w:type="dxa"/>
            <w:gridSpan w:val="2"/>
            <w:noWrap w:val="0"/>
            <w:vAlign w:val="center"/>
          </w:tcPr>
          <w:p w14:paraId="6E487D23">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25D99332">
            <w:pPr>
              <w:widowControl/>
              <w:jc w:val="center"/>
              <w:rPr>
                <w:rFonts w:hint="eastAsia" w:ascii="仿宋" w:hAnsi="仿宋" w:eastAsia="仿宋" w:cs="仿宋"/>
                <w:b w:val="0"/>
                <w:bCs w:val="0"/>
                <w:kern w:val="0"/>
                <w:sz w:val="20"/>
                <w:szCs w:val="20"/>
              </w:rPr>
            </w:pPr>
          </w:p>
        </w:tc>
      </w:tr>
      <w:tr w14:paraId="2DEB9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D4CA643">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4、其他事业类发展资金</w:t>
            </w:r>
          </w:p>
        </w:tc>
        <w:tc>
          <w:tcPr>
            <w:tcW w:w="2038" w:type="dxa"/>
            <w:gridSpan w:val="2"/>
            <w:noWrap w:val="0"/>
            <w:vAlign w:val="center"/>
          </w:tcPr>
          <w:p w14:paraId="39F04E4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78FEED74">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58209D17">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5B39C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354" w:type="dxa"/>
            <w:noWrap w:val="0"/>
            <w:vAlign w:val="center"/>
          </w:tcPr>
          <w:p w14:paraId="0FE422E8">
            <w:pPr>
              <w:widowControl/>
              <w:jc w:val="center"/>
              <w:rPr>
                <w:rFonts w:hint="eastAsia" w:ascii="仿宋" w:hAnsi="仿宋" w:eastAsia="仿宋" w:cs="仿宋"/>
                <w:b w:val="0"/>
                <w:bCs w:val="0"/>
                <w:kern w:val="0"/>
                <w:sz w:val="20"/>
                <w:szCs w:val="20"/>
              </w:rPr>
            </w:pPr>
          </w:p>
        </w:tc>
        <w:tc>
          <w:tcPr>
            <w:tcW w:w="2038" w:type="dxa"/>
            <w:gridSpan w:val="2"/>
            <w:noWrap w:val="0"/>
            <w:vAlign w:val="center"/>
          </w:tcPr>
          <w:p w14:paraId="20CA9953">
            <w:pPr>
              <w:widowControl/>
              <w:jc w:val="center"/>
              <w:rPr>
                <w:rFonts w:hint="eastAsia" w:ascii="仿宋" w:hAnsi="仿宋" w:eastAsia="仿宋" w:cs="仿宋"/>
                <w:b w:val="0"/>
                <w:bCs w:val="0"/>
                <w:kern w:val="0"/>
                <w:sz w:val="20"/>
                <w:szCs w:val="20"/>
              </w:rPr>
            </w:pPr>
          </w:p>
        </w:tc>
        <w:tc>
          <w:tcPr>
            <w:tcW w:w="2240" w:type="dxa"/>
            <w:gridSpan w:val="2"/>
            <w:noWrap w:val="0"/>
            <w:vAlign w:val="center"/>
          </w:tcPr>
          <w:p w14:paraId="6C02A50F">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48828F1D">
            <w:pPr>
              <w:widowControl/>
              <w:jc w:val="center"/>
              <w:rPr>
                <w:rFonts w:hint="eastAsia" w:ascii="仿宋" w:hAnsi="仿宋" w:eastAsia="仿宋" w:cs="仿宋"/>
                <w:b w:val="0"/>
                <w:bCs w:val="0"/>
                <w:kern w:val="0"/>
                <w:sz w:val="20"/>
                <w:szCs w:val="20"/>
              </w:rPr>
            </w:pPr>
          </w:p>
        </w:tc>
      </w:tr>
      <w:tr w14:paraId="08861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6855A1D">
            <w:pPr>
              <w:widowControl/>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公用经费</w:t>
            </w:r>
          </w:p>
        </w:tc>
        <w:tc>
          <w:tcPr>
            <w:tcW w:w="2038" w:type="dxa"/>
            <w:gridSpan w:val="2"/>
            <w:noWrap w:val="0"/>
            <w:vAlign w:val="center"/>
          </w:tcPr>
          <w:p w14:paraId="32F7AB37">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3C611217">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0F761B5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16E98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ECF8C29">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其中：办公费</w:t>
            </w:r>
          </w:p>
        </w:tc>
        <w:tc>
          <w:tcPr>
            <w:tcW w:w="2038" w:type="dxa"/>
            <w:gridSpan w:val="2"/>
            <w:noWrap w:val="0"/>
            <w:vAlign w:val="center"/>
          </w:tcPr>
          <w:p w14:paraId="0995DA5A">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c>
          <w:tcPr>
            <w:tcW w:w="2240" w:type="dxa"/>
            <w:gridSpan w:val="2"/>
            <w:noWrap w:val="0"/>
            <w:vAlign w:val="center"/>
          </w:tcPr>
          <w:p w14:paraId="319A6BB1">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c>
          <w:tcPr>
            <w:tcW w:w="1832" w:type="dxa"/>
            <w:gridSpan w:val="2"/>
            <w:noWrap w:val="0"/>
            <w:vAlign w:val="center"/>
          </w:tcPr>
          <w:p w14:paraId="72CCECE4">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r>
      <w:tr w14:paraId="5E33C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20B8BAF">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水费、电费、差旅费</w:t>
            </w:r>
          </w:p>
        </w:tc>
        <w:tc>
          <w:tcPr>
            <w:tcW w:w="2038" w:type="dxa"/>
            <w:gridSpan w:val="2"/>
            <w:noWrap w:val="0"/>
            <w:vAlign w:val="center"/>
          </w:tcPr>
          <w:p w14:paraId="21CF579C">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c>
          <w:tcPr>
            <w:tcW w:w="2240" w:type="dxa"/>
            <w:gridSpan w:val="2"/>
            <w:noWrap w:val="0"/>
            <w:vAlign w:val="center"/>
          </w:tcPr>
          <w:p w14:paraId="347B0511">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c>
          <w:tcPr>
            <w:tcW w:w="1832" w:type="dxa"/>
            <w:gridSpan w:val="2"/>
            <w:noWrap w:val="0"/>
            <w:vAlign w:val="center"/>
          </w:tcPr>
          <w:p w14:paraId="416F96EA">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r>
      <w:tr w14:paraId="6B31C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3354" w:type="dxa"/>
            <w:noWrap w:val="0"/>
            <w:vAlign w:val="center"/>
          </w:tcPr>
          <w:p w14:paraId="2D7E61C2">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会议费、培训费</w:t>
            </w:r>
          </w:p>
        </w:tc>
        <w:tc>
          <w:tcPr>
            <w:tcW w:w="2038" w:type="dxa"/>
            <w:gridSpan w:val="2"/>
            <w:noWrap w:val="0"/>
            <w:vAlign w:val="center"/>
          </w:tcPr>
          <w:p w14:paraId="17412629">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c>
          <w:tcPr>
            <w:tcW w:w="2240" w:type="dxa"/>
            <w:gridSpan w:val="2"/>
            <w:noWrap w:val="0"/>
            <w:vAlign w:val="center"/>
          </w:tcPr>
          <w:p w14:paraId="16E756D2">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c>
          <w:tcPr>
            <w:tcW w:w="1832" w:type="dxa"/>
            <w:gridSpan w:val="2"/>
            <w:noWrap w:val="0"/>
            <w:vAlign w:val="center"/>
          </w:tcPr>
          <w:p w14:paraId="4E0686CB">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r>
      <w:tr w14:paraId="18AF9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54" w:type="dxa"/>
            <w:noWrap w:val="0"/>
            <w:vAlign w:val="center"/>
          </w:tcPr>
          <w:p w14:paraId="26C357E2">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政府采购金额</w:t>
            </w:r>
          </w:p>
        </w:tc>
        <w:tc>
          <w:tcPr>
            <w:tcW w:w="2038" w:type="dxa"/>
            <w:gridSpan w:val="2"/>
            <w:noWrap w:val="0"/>
            <w:vAlign w:val="center"/>
          </w:tcPr>
          <w:p w14:paraId="17D20E2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14:paraId="7E524DC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169</w:t>
            </w:r>
            <w:r>
              <w:rPr>
                <w:rFonts w:hint="eastAsia" w:ascii="仿宋" w:hAnsi="仿宋" w:eastAsia="仿宋" w:cs="仿宋"/>
                <w:b w:val="0"/>
                <w:bCs w:val="0"/>
                <w:kern w:val="0"/>
                <w:sz w:val="20"/>
                <w:szCs w:val="20"/>
              </w:rPr>
              <w:t>　</w:t>
            </w:r>
          </w:p>
        </w:tc>
        <w:tc>
          <w:tcPr>
            <w:tcW w:w="1832" w:type="dxa"/>
            <w:gridSpan w:val="2"/>
            <w:noWrap w:val="0"/>
            <w:vAlign w:val="center"/>
          </w:tcPr>
          <w:p w14:paraId="565A7340">
            <w:pPr>
              <w:widowControl/>
              <w:jc w:val="center"/>
              <w:rPr>
                <w:rFonts w:hint="default" w:ascii="仿宋" w:hAnsi="仿宋" w:eastAsia="仿宋" w:cs="仿宋"/>
                <w:b w:val="0"/>
                <w:bCs w:val="0"/>
                <w:kern w:val="0"/>
                <w:sz w:val="20"/>
                <w:szCs w:val="20"/>
                <w:lang w:val="en-US"/>
              </w:rPr>
            </w:pPr>
            <w:r>
              <w:rPr>
                <w:rFonts w:hint="eastAsia" w:ascii="仿宋" w:hAnsi="仿宋" w:eastAsia="仿宋" w:cs="仿宋"/>
                <w:b w:val="0"/>
                <w:bCs w:val="0"/>
                <w:kern w:val="0"/>
                <w:sz w:val="20"/>
                <w:szCs w:val="20"/>
                <w:lang w:val="en-US" w:eastAsia="zh-CN"/>
              </w:rPr>
              <w:t>150.53</w:t>
            </w:r>
          </w:p>
        </w:tc>
      </w:tr>
      <w:tr w14:paraId="098A7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6F66345">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部门基本支出预算调整 </w:t>
            </w:r>
          </w:p>
        </w:tc>
        <w:tc>
          <w:tcPr>
            <w:tcW w:w="2038" w:type="dxa"/>
            <w:gridSpan w:val="2"/>
            <w:noWrap w:val="0"/>
            <w:vAlign w:val="center"/>
          </w:tcPr>
          <w:p w14:paraId="5F589EB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14:paraId="6CB56B7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3758348C">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2CF2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3354" w:type="dxa"/>
            <w:vMerge w:val="restart"/>
            <w:noWrap w:val="0"/>
            <w:vAlign w:val="center"/>
          </w:tcPr>
          <w:p w14:paraId="78C405B2">
            <w:pPr>
              <w:widowControl/>
              <w:jc w:val="center"/>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rPr>
              <w:t>楼堂馆所控制情况</w:t>
            </w:r>
          </w:p>
          <w:p w14:paraId="78A6B8C6">
            <w:pPr>
              <w:widowControl/>
              <w:jc w:val="center"/>
              <w:rPr>
                <w:rFonts w:hint="eastAsia" w:ascii="仿宋" w:hAnsi="仿宋" w:eastAsia="仿宋" w:cs="仿宋"/>
                <w:b w:val="0"/>
                <w:bCs w:val="0"/>
                <w:kern w:val="0"/>
                <w:sz w:val="20"/>
                <w:szCs w:val="20"/>
                <w:lang w:eastAsia="zh-CN"/>
              </w:rPr>
            </w:pPr>
          </w:p>
        </w:tc>
        <w:tc>
          <w:tcPr>
            <w:tcW w:w="1189" w:type="dxa"/>
            <w:noWrap w:val="0"/>
            <w:vAlign w:val="center"/>
          </w:tcPr>
          <w:p w14:paraId="7179CC89">
            <w:pPr>
              <w:widowControl/>
              <w:spacing w:line="240" w:lineRule="exact"/>
              <w:jc w:val="center"/>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rPr>
              <w:t>批复规模</w:t>
            </w:r>
          </w:p>
          <w:p w14:paraId="4B3F33A6">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849" w:type="dxa"/>
            <w:noWrap w:val="0"/>
            <w:vAlign w:val="center"/>
          </w:tcPr>
          <w:p w14:paraId="7E8BBD2E">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实际规模（㎡）</w:t>
            </w:r>
          </w:p>
        </w:tc>
        <w:tc>
          <w:tcPr>
            <w:tcW w:w="1129" w:type="dxa"/>
            <w:noWrap w:val="0"/>
            <w:vAlign w:val="center"/>
          </w:tcPr>
          <w:p w14:paraId="62120D82">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规模控制率</w:t>
            </w:r>
          </w:p>
        </w:tc>
        <w:tc>
          <w:tcPr>
            <w:tcW w:w="1111" w:type="dxa"/>
            <w:noWrap w:val="0"/>
            <w:vAlign w:val="center"/>
          </w:tcPr>
          <w:p w14:paraId="7A2B56BB">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预算投资（万元）</w:t>
            </w:r>
          </w:p>
        </w:tc>
        <w:tc>
          <w:tcPr>
            <w:tcW w:w="969" w:type="dxa"/>
            <w:noWrap w:val="0"/>
            <w:vAlign w:val="center"/>
          </w:tcPr>
          <w:p w14:paraId="05B8AD74">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实际投资（万元）</w:t>
            </w:r>
          </w:p>
        </w:tc>
        <w:tc>
          <w:tcPr>
            <w:tcW w:w="863" w:type="dxa"/>
            <w:noWrap w:val="0"/>
            <w:vAlign w:val="center"/>
          </w:tcPr>
          <w:p w14:paraId="406F6FBB">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投资概算控制率</w:t>
            </w:r>
          </w:p>
        </w:tc>
      </w:tr>
      <w:tr w14:paraId="1C56A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354" w:type="dxa"/>
            <w:vMerge w:val="continue"/>
            <w:noWrap w:val="0"/>
            <w:vAlign w:val="center"/>
          </w:tcPr>
          <w:p w14:paraId="519D3306">
            <w:pPr>
              <w:widowControl/>
              <w:jc w:val="left"/>
              <w:rPr>
                <w:rFonts w:hint="eastAsia" w:ascii="仿宋" w:hAnsi="仿宋" w:eastAsia="仿宋" w:cs="仿宋"/>
                <w:b w:val="0"/>
                <w:bCs w:val="0"/>
                <w:kern w:val="0"/>
                <w:sz w:val="20"/>
                <w:szCs w:val="20"/>
              </w:rPr>
            </w:pPr>
          </w:p>
        </w:tc>
        <w:tc>
          <w:tcPr>
            <w:tcW w:w="1189" w:type="dxa"/>
            <w:noWrap w:val="0"/>
            <w:vAlign w:val="center"/>
          </w:tcPr>
          <w:p w14:paraId="1F1D1E24">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849" w:type="dxa"/>
            <w:noWrap w:val="0"/>
            <w:vAlign w:val="center"/>
          </w:tcPr>
          <w:p w14:paraId="36335307">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129" w:type="dxa"/>
            <w:noWrap w:val="0"/>
            <w:vAlign w:val="center"/>
          </w:tcPr>
          <w:p w14:paraId="0302B928">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111" w:type="dxa"/>
            <w:noWrap w:val="0"/>
            <w:vAlign w:val="center"/>
          </w:tcPr>
          <w:p w14:paraId="0670AFAA">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969" w:type="dxa"/>
            <w:noWrap w:val="0"/>
            <w:vAlign w:val="center"/>
          </w:tcPr>
          <w:p w14:paraId="0D2DC91B">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863" w:type="dxa"/>
            <w:noWrap w:val="0"/>
            <w:vAlign w:val="center"/>
          </w:tcPr>
          <w:p w14:paraId="31EF2E45">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7B30F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354" w:type="dxa"/>
            <w:noWrap w:val="0"/>
            <w:vAlign w:val="center"/>
          </w:tcPr>
          <w:p w14:paraId="57FE67B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厉行节约保障措施</w:t>
            </w:r>
          </w:p>
        </w:tc>
        <w:tc>
          <w:tcPr>
            <w:tcW w:w="6110" w:type="dxa"/>
            <w:gridSpan w:val="6"/>
            <w:noWrap w:val="0"/>
            <w:vAlign w:val="center"/>
          </w:tcPr>
          <w:p w14:paraId="4165B1E7">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制定具体可行、科学合理的预算计划;围绕年度司法行政工作，结合本部门实际支出情况，严格核定各项支出指标;压缩经常性开支，严格“三公经费”管理，设备采购严格落实政府采购手续。</w:t>
            </w:r>
            <w:bookmarkStart w:id="0" w:name="_GoBack"/>
            <w:bookmarkEnd w:id="0"/>
          </w:p>
        </w:tc>
      </w:tr>
    </w:tbl>
    <w:p w14:paraId="37AA5EC8">
      <w:pPr>
        <w:pStyle w:val="11"/>
        <w:keepNext/>
        <w:keepLines/>
        <w:pageBreakBefore w:val="0"/>
        <w:widowControl w:val="0"/>
        <w:kinsoku/>
        <w:wordWrap/>
        <w:overflowPunct/>
        <w:topLinePunct w:val="0"/>
        <w:autoSpaceDE/>
        <w:autoSpaceDN/>
        <w:bidi w:val="0"/>
        <w:adjustRightInd/>
        <w:snapToGrid/>
        <w:spacing w:line="280" w:lineRule="exact"/>
        <w:textAlignment w:val="auto"/>
        <w:rPr>
          <w:rFonts w:hint="eastAsia"/>
          <w:lang w:val="en-US" w:eastAsia="zh-CN"/>
        </w:rPr>
      </w:pPr>
      <w:r>
        <w:rPr>
          <w:rFonts w:eastAsia="仿宋_GB2312"/>
          <w:kern w:val="0"/>
          <w:sz w:val="22"/>
        </w:rPr>
        <w:t>说明：“项目支出”需要填报基本支出以外的所有项目支出情况，“公用经费”填报基本支出中的一般商品和服务支出。</w:t>
      </w:r>
    </w:p>
    <w:p w14:paraId="7EAF089C">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刘希敏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 2024年6月18日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 2711853</w:t>
      </w:r>
    </w:p>
    <w:p w14:paraId="1154AB9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2D43A08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0AE7C51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3FE2989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32F497D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604A9E9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5F4A5F1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1802A69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5B2E438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4E9C0AC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5693BE9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t>附件1-2</w:t>
      </w:r>
    </w:p>
    <w:p w14:paraId="573508BD">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整体支出绩效自评表</w:t>
      </w:r>
    </w:p>
    <w:tbl>
      <w:tblPr>
        <w:tblStyle w:val="9"/>
        <w:tblW w:w="92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1135"/>
        <w:gridCol w:w="1092"/>
        <w:gridCol w:w="976"/>
        <w:gridCol w:w="524"/>
        <w:gridCol w:w="1063"/>
        <w:gridCol w:w="1037"/>
        <w:gridCol w:w="545"/>
        <w:gridCol w:w="805"/>
        <w:gridCol w:w="958"/>
      </w:tblGrid>
      <w:tr w14:paraId="2D314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127" w:type="dxa"/>
            <w:noWrap w:val="0"/>
            <w:vAlign w:val="center"/>
          </w:tcPr>
          <w:p w14:paraId="7860E1C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w:t>
            </w:r>
            <w:r>
              <w:rPr>
                <w:rFonts w:hint="eastAsia" w:ascii="仿宋" w:hAnsi="仿宋" w:eastAsia="仿宋" w:cs="仿宋"/>
                <w:color w:val="000000"/>
                <w:kern w:val="0"/>
                <w:sz w:val="20"/>
                <w:szCs w:val="20"/>
                <w:lang w:val="en-US" w:eastAsia="zh-CN"/>
              </w:rPr>
              <w:t>单位</w:t>
            </w:r>
            <w:r>
              <w:rPr>
                <w:rFonts w:hint="eastAsia" w:ascii="仿宋" w:hAnsi="仿宋" w:eastAsia="仿宋" w:cs="仿宋"/>
                <w:color w:val="000000"/>
                <w:kern w:val="0"/>
                <w:sz w:val="20"/>
                <w:szCs w:val="20"/>
              </w:rPr>
              <w:t>名称</w:t>
            </w:r>
          </w:p>
        </w:tc>
        <w:tc>
          <w:tcPr>
            <w:tcW w:w="8135" w:type="dxa"/>
            <w:gridSpan w:val="9"/>
            <w:noWrap w:val="0"/>
            <w:vAlign w:val="center"/>
          </w:tcPr>
          <w:p w14:paraId="7B2E864E">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eastAsia="zh-CN"/>
              </w:rPr>
              <w:t>怀化市司法局</w:t>
            </w:r>
            <w:r>
              <w:rPr>
                <w:rFonts w:hint="eastAsia" w:ascii="仿宋" w:hAnsi="仿宋" w:eastAsia="仿宋" w:cs="仿宋"/>
                <w:color w:val="000000"/>
                <w:kern w:val="0"/>
                <w:sz w:val="20"/>
                <w:szCs w:val="20"/>
              </w:rPr>
              <w:t>　</w:t>
            </w:r>
          </w:p>
        </w:tc>
      </w:tr>
      <w:tr w14:paraId="7F51C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127" w:type="dxa"/>
            <w:vMerge w:val="restart"/>
            <w:noWrap w:val="0"/>
            <w:vAlign w:val="center"/>
          </w:tcPr>
          <w:p w14:paraId="0E1BDE9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年度预</w:t>
            </w:r>
          </w:p>
          <w:p w14:paraId="00D86B3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算申请</w:t>
            </w:r>
          </w:p>
          <w:p w14:paraId="28FDD14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2227" w:type="dxa"/>
            <w:gridSpan w:val="2"/>
            <w:noWrap w:val="0"/>
            <w:vAlign w:val="center"/>
          </w:tcPr>
          <w:p w14:paraId="4F958A2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p>
        </w:tc>
        <w:tc>
          <w:tcPr>
            <w:tcW w:w="976" w:type="dxa"/>
            <w:noWrap w:val="0"/>
            <w:vAlign w:val="center"/>
          </w:tcPr>
          <w:p w14:paraId="6130201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年初</w:t>
            </w:r>
          </w:p>
          <w:p w14:paraId="0A88008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预算数</w:t>
            </w:r>
          </w:p>
        </w:tc>
        <w:tc>
          <w:tcPr>
            <w:tcW w:w="1587" w:type="dxa"/>
            <w:gridSpan w:val="2"/>
            <w:noWrap w:val="0"/>
            <w:vAlign w:val="center"/>
          </w:tcPr>
          <w:p w14:paraId="23A6FD5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全年预算数</w:t>
            </w:r>
          </w:p>
        </w:tc>
        <w:tc>
          <w:tcPr>
            <w:tcW w:w="1037" w:type="dxa"/>
            <w:noWrap w:val="0"/>
            <w:vAlign w:val="center"/>
          </w:tcPr>
          <w:p w14:paraId="773FB55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074E59B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545" w:type="dxa"/>
            <w:noWrap w:val="0"/>
            <w:vAlign w:val="center"/>
          </w:tcPr>
          <w:p w14:paraId="0DDD92C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05" w:type="dxa"/>
            <w:noWrap w:val="0"/>
            <w:vAlign w:val="center"/>
          </w:tcPr>
          <w:p w14:paraId="47EE262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958" w:type="dxa"/>
            <w:noWrap w:val="0"/>
            <w:vAlign w:val="center"/>
          </w:tcPr>
          <w:p w14:paraId="15CD742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17C09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7" w:type="dxa"/>
            <w:vMerge w:val="continue"/>
            <w:noWrap w:val="0"/>
            <w:vAlign w:val="center"/>
          </w:tcPr>
          <w:p w14:paraId="4A7AD3B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2227" w:type="dxa"/>
            <w:gridSpan w:val="2"/>
            <w:noWrap w:val="0"/>
            <w:vAlign w:val="center"/>
          </w:tcPr>
          <w:p w14:paraId="1BDBE81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color w:val="000000"/>
                <w:kern w:val="0"/>
                <w:sz w:val="20"/>
                <w:szCs w:val="20"/>
              </w:rPr>
              <w:t>年度资金总额</w:t>
            </w:r>
          </w:p>
        </w:tc>
        <w:tc>
          <w:tcPr>
            <w:tcW w:w="976" w:type="dxa"/>
            <w:noWrap w:val="0"/>
            <w:vAlign w:val="center"/>
          </w:tcPr>
          <w:p w14:paraId="4D4AED5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2079.25</w:t>
            </w:r>
          </w:p>
        </w:tc>
        <w:tc>
          <w:tcPr>
            <w:tcW w:w="1587" w:type="dxa"/>
            <w:gridSpan w:val="2"/>
            <w:noWrap w:val="0"/>
            <w:vAlign w:val="center"/>
          </w:tcPr>
          <w:p w14:paraId="652EE8D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2079.25</w:t>
            </w:r>
          </w:p>
        </w:tc>
        <w:tc>
          <w:tcPr>
            <w:tcW w:w="1037" w:type="dxa"/>
            <w:noWrap w:val="0"/>
            <w:vAlign w:val="center"/>
          </w:tcPr>
          <w:p w14:paraId="3858718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2004.02</w:t>
            </w:r>
          </w:p>
        </w:tc>
        <w:tc>
          <w:tcPr>
            <w:tcW w:w="545" w:type="dxa"/>
            <w:noWrap w:val="0"/>
            <w:vAlign w:val="center"/>
          </w:tcPr>
          <w:p w14:paraId="627DFEA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10</w:t>
            </w:r>
          </w:p>
        </w:tc>
        <w:tc>
          <w:tcPr>
            <w:tcW w:w="805" w:type="dxa"/>
            <w:noWrap w:val="0"/>
            <w:vAlign w:val="center"/>
          </w:tcPr>
          <w:p w14:paraId="6E76B00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96.38</w:t>
            </w:r>
          </w:p>
        </w:tc>
        <w:tc>
          <w:tcPr>
            <w:tcW w:w="958" w:type="dxa"/>
            <w:noWrap w:val="0"/>
            <w:vAlign w:val="center"/>
          </w:tcPr>
          <w:p w14:paraId="59EEAE0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10</w:t>
            </w:r>
          </w:p>
        </w:tc>
      </w:tr>
      <w:tr w14:paraId="73FF5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7" w:type="dxa"/>
            <w:vMerge w:val="continue"/>
            <w:noWrap w:val="0"/>
            <w:vAlign w:val="center"/>
          </w:tcPr>
          <w:p w14:paraId="2138EE8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790" w:type="dxa"/>
            <w:gridSpan w:val="5"/>
            <w:noWrap w:val="0"/>
            <w:vAlign w:val="center"/>
          </w:tcPr>
          <w:p w14:paraId="7E8037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按收入性质分：</w:t>
            </w:r>
          </w:p>
        </w:tc>
        <w:tc>
          <w:tcPr>
            <w:tcW w:w="3345" w:type="dxa"/>
            <w:gridSpan w:val="4"/>
            <w:noWrap w:val="0"/>
            <w:vAlign w:val="center"/>
          </w:tcPr>
          <w:p w14:paraId="315A9B7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按支出性质分：</w:t>
            </w:r>
          </w:p>
        </w:tc>
      </w:tr>
      <w:tr w14:paraId="3E013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7" w:type="dxa"/>
            <w:vMerge w:val="continue"/>
            <w:noWrap w:val="0"/>
            <w:vAlign w:val="center"/>
          </w:tcPr>
          <w:p w14:paraId="7D62BF3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790" w:type="dxa"/>
            <w:gridSpan w:val="5"/>
            <w:noWrap w:val="0"/>
            <w:vAlign w:val="center"/>
          </w:tcPr>
          <w:p w14:paraId="413ED3F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xml:space="preserve">  其中：  一般公共预算：</w:t>
            </w:r>
            <w:r>
              <w:rPr>
                <w:rFonts w:hint="eastAsia" w:ascii="仿宋" w:hAnsi="仿宋" w:eastAsia="仿宋" w:cs="仿宋"/>
                <w:color w:val="000000"/>
                <w:kern w:val="0"/>
                <w:sz w:val="20"/>
                <w:szCs w:val="20"/>
                <w:lang w:val="en-US" w:eastAsia="zh-CN"/>
              </w:rPr>
              <w:t>2065.05</w:t>
            </w:r>
          </w:p>
        </w:tc>
        <w:tc>
          <w:tcPr>
            <w:tcW w:w="3345" w:type="dxa"/>
            <w:gridSpan w:val="4"/>
            <w:noWrap w:val="0"/>
            <w:vAlign w:val="center"/>
          </w:tcPr>
          <w:p w14:paraId="3D5FB55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其中：基本支出：</w:t>
            </w:r>
            <w:r>
              <w:rPr>
                <w:rFonts w:hint="eastAsia" w:ascii="仿宋" w:hAnsi="仿宋" w:eastAsia="仿宋" w:cs="仿宋"/>
                <w:color w:val="000000"/>
                <w:kern w:val="0"/>
                <w:sz w:val="20"/>
                <w:szCs w:val="20"/>
                <w:lang w:val="en-US" w:eastAsia="zh-CN"/>
              </w:rPr>
              <w:t>1477.05</w:t>
            </w:r>
          </w:p>
        </w:tc>
      </w:tr>
      <w:tr w14:paraId="3376E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7" w:type="dxa"/>
            <w:vMerge w:val="continue"/>
            <w:noWrap w:val="0"/>
            <w:vAlign w:val="center"/>
          </w:tcPr>
          <w:p w14:paraId="4EDF73D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790" w:type="dxa"/>
            <w:gridSpan w:val="5"/>
            <w:noWrap w:val="0"/>
            <w:vAlign w:val="center"/>
          </w:tcPr>
          <w:p w14:paraId="100C9C01">
            <w:pPr>
              <w:keepNext w:val="0"/>
              <w:keepLines w:val="0"/>
              <w:pageBreakBefore w:val="0"/>
              <w:widowControl/>
              <w:kinsoku/>
              <w:wordWrap/>
              <w:overflowPunct/>
              <w:topLinePunct w:val="0"/>
              <w:autoSpaceDE/>
              <w:autoSpaceDN/>
              <w:bidi w:val="0"/>
              <w:adjustRightInd/>
              <w:snapToGrid/>
              <w:spacing w:line="240" w:lineRule="exact"/>
              <w:ind w:firstLine="800" w:firstLineChars="4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政府性基金拨款：</w:t>
            </w:r>
          </w:p>
        </w:tc>
        <w:tc>
          <w:tcPr>
            <w:tcW w:w="3345" w:type="dxa"/>
            <w:gridSpan w:val="4"/>
            <w:noWrap w:val="0"/>
            <w:vAlign w:val="center"/>
          </w:tcPr>
          <w:p w14:paraId="1FEA105F">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项目支出：</w:t>
            </w:r>
            <w:r>
              <w:rPr>
                <w:rFonts w:hint="eastAsia" w:ascii="仿宋" w:hAnsi="仿宋" w:eastAsia="仿宋" w:cs="仿宋"/>
                <w:color w:val="000000"/>
                <w:kern w:val="0"/>
                <w:sz w:val="20"/>
                <w:szCs w:val="20"/>
                <w:lang w:val="en-US" w:eastAsia="zh-CN"/>
              </w:rPr>
              <w:t>602.2</w:t>
            </w:r>
          </w:p>
        </w:tc>
      </w:tr>
      <w:tr w14:paraId="39954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7" w:type="dxa"/>
            <w:vMerge w:val="continue"/>
            <w:noWrap w:val="0"/>
            <w:vAlign w:val="center"/>
          </w:tcPr>
          <w:p w14:paraId="6950C95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790" w:type="dxa"/>
            <w:gridSpan w:val="5"/>
            <w:noWrap w:val="0"/>
            <w:vAlign w:val="center"/>
          </w:tcPr>
          <w:p w14:paraId="68E7A04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纳入专户管理的非税收入拨款：</w:t>
            </w:r>
            <w:r>
              <w:rPr>
                <w:rFonts w:hint="eastAsia" w:ascii="仿宋" w:hAnsi="仿宋" w:eastAsia="仿宋" w:cs="仿宋"/>
                <w:color w:val="000000"/>
                <w:kern w:val="0"/>
                <w:sz w:val="20"/>
                <w:szCs w:val="20"/>
                <w:lang w:val="en-US" w:eastAsia="zh-CN"/>
              </w:rPr>
              <w:t>14.2</w:t>
            </w:r>
          </w:p>
        </w:tc>
        <w:tc>
          <w:tcPr>
            <w:tcW w:w="3345" w:type="dxa"/>
            <w:gridSpan w:val="4"/>
            <w:noWrap w:val="0"/>
            <w:vAlign w:val="center"/>
          </w:tcPr>
          <w:p w14:paraId="3EB1C2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64CAC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27" w:type="dxa"/>
            <w:vMerge w:val="continue"/>
            <w:noWrap w:val="0"/>
            <w:vAlign w:val="center"/>
          </w:tcPr>
          <w:p w14:paraId="1D8AEAD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790" w:type="dxa"/>
            <w:gridSpan w:val="5"/>
            <w:noWrap w:val="0"/>
            <w:vAlign w:val="center"/>
          </w:tcPr>
          <w:p w14:paraId="56D15CBE">
            <w:pPr>
              <w:keepNext w:val="0"/>
              <w:keepLines w:val="0"/>
              <w:pageBreakBefore w:val="0"/>
              <w:widowControl/>
              <w:kinsoku/>
              <w:wordWrap/>
              <w:overflowPunct/>
              <w:topLinePunct w:val="0"/>
              <w:autoSpaceDE/>
              <w:autoSpaceDN/>
              <w:bidi w:val="0"/>
              <w:adjustRightInd/>
              <w:snapToGrid/>
              <w:spacing w:line="240" w:lineRule="exact"/>
              <w:ind w:firstLine="1400" w:firstLineChars="7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3345" w:type="dxa"/>
            <w:gridSpan w:val="4"/>
            <w:noWrap w:val="0"/>
            <w:vAlign w:val="center"/>
          </w:tcPr>
          <w:p w14:paraId="2321D2D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3AAA8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7" w:type="dxa"/>
            <w:vMerge w:val="restart"/>
            <w:noWrap w:val="0"/>
            <w:vAlign w:val="center"/>
          </w:tcPr>
          <w:p w14:paraId="6BB53DC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790" w:type="dxa"/>
            <w:gridSpan w:val="5"/>
            <w:noWrap w:val="0"/>
            <w:vAlign w:val="center"/>
          </w:tcPr>
          <w:p w14:paraId="444489C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3345" w:type="dxa"/>
            <w:gridSpan w:val="4"/>
            <w:noWrap w:val="0"/>
            <w:vAlign w:val="center"/>
          </w:tcPr>
          <w:p w14:paraId="31ECA25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43718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127" w:type="dxa"/>
            <w:vMerge w:val="continue"/>
            <w:noWrap w:val="0"/>
            <w:vAlign w:val="center"/>
          </w:tcPr>
          <w:p w14:paraId="567F0A2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790" w:type="dxa"/>
            <w:gridSpan w:val="5"/>
            <w:noWrap w:val="0"/>
            <w:vAlign w:val="center"/>
          </w:tcPr>
          <w:p w14:paraId="53193722">
            <w:pPr>
              <w:pStyle w:val="7"/>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200" w:leftChars="0" w:right="0" w:firstLine="0" w:firstLineChars="0"/>
              <w:textAlignment w:val="auto"/>
              <w:rPr>
                <w:rFonts w:hint="eastAsia" w:ascii="仿宋" w:hAnsi="仿宋" w:eastAsia="仿宋" w:cs="仿宋"/>
                <w:b w:val="0"/>
                <w:bCs w:val="0"/>
                <w:i w:val="0"/>
                <w:iCs w:val="0"/>
                <w:caps w:val="0"/>
                <w:color w:val="3D3D3D"/>
                <w:spacing w:val="0"/>
                <w:sz w:val="20"/>
                <w:szCs w:val="20"/>
                <w:shd w:val="clear" w:fill="FFFFFF"/>
              </w:rPr>
            </w:pPr>
            <w:r>
              <w:rPr>
                <w:rFonts w:hint="eastAsia" w:ascii="仿宋" w:hAnsi="仿宋" w:eastAsia="仿宋" w:cs="仿宋"/>
                <w:b w:val="0"/>
                <w:bCs w:val="0"/>
                <w:i w:val="0"/>
                <w:iCs w:val="0"/>
                <w:caps w:val="0"/>
                <w:color w:val="3D3D3D"/>
                <w:spacing w:val="0"/>
                <w:sz w:val="20"/>
                <w:szCs w:val="20"/>
                <w:shd w:val="clear" w:fill="FFFFFF"/>
              </w:rPr>
              <w:t>聚焦政治统领，</w:t>
            </w:r>
            <w:r>
              <w:rPr>
                <w:rFonts w:hint="eastAsia" w:ascii="仿宋" w:hAnsi="仿宋" w:eastAsia="仿宋" w:cs="仿宋"/>
                <w:b w:val="0"/>
                <w:bCs w:val="0"/>
                <w:i w:val="0"/>
                <w:iCs w:val="0"/>
                <w:caps w:val="0"/>
                <w:color w:val="3D3D3D"/>
                <w:spacing w:val="0"/>
                <w:sz w:val="20"/>
                <w:szCs w:val="20"/>
                <w:shd w:val="clear" w:fill="FFFFFF"/>
                <w:lang w:eastAsia="zh-CN"/>
              </w:rPr>
              <w:t>加强</w:t>
            </w:r>
            <w:r>
              <w:rPr>
                <w:rFonts w:hint="eastAsia" w:ascii="仿宋" w:hAnsi="仿宋" w:eastAsia="仿宋" w:cs="仿宋"/>
                <w:b w:val="0"/>
                <w:bCs w:val="0"/>
                <w:i w:val="0"/>
                <w:iCs w:val="0"/>
                <w:caps w:val="0"/>
                <w:color w:val="3D3D3D"/>
                <w:spacing w:val="0"/>
                <w:sz w:val="20"/>
                <w:szCs w:val="20"/>
                <w:shd w:val="clear" w:fill="FFFFFF"/>
              </w:rPr>
              <w:t>党的建设。</w:t>
            </w:r>
          </w:p>
          <w:p w14:paraId="271E0D58">
            <w:pPr>
              <w:pStyle w:val="7"/>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200" w:leftChars="0" w:right="0" w:rightChars="0" w:firstLine="0" w:firstLineChars="0"/>
              <w:textAlignment w:val="auto"/>
              <w:rPr>
                <w:rFonts w:hint="eastAsia" w:ascii="仿宋" w:hAnsi="仿宋" w:eastAsia="仿宋" w:cs="仿宋"/>
                <w:b w:val="0"/>
                <w:bCs w:val="0"/>
                <w:i w:val="0"/>
                <w:iCs w:val="0"/>
                <w:caps w:val="0"/>
                <w:color w:val="3D3D3D"/>
                <w:spacing w:val="0"/>
                <w:sz w:val="20"/>
                <w:szCs w:val="20"/>
                <w:shd w:val="clear" w:fill="FFFFFF"/>
                <w:lang w:eastAsia="zh-CN"/>
              </w:rPr>
            </w:pPr>
            <w:r>
              <w:rPr>
                <w:rFonts w:hint="eastAsia" w:ascii="仿宋" w:hAnsi="仿宋" w:eastAsia="仿宋" w:cs="仿宋"/>
                <w:b w:val="0"/>
                <w:bCs w:val="0"/>
                <w:i w:val="0"/>
                <w:iCs w:val="0"/>
                <w:caps w:val="0"/>
                <w:color w:val="3D3D3D"/>
                <w:spacing w:val="0"/>
                <w:sz w:val="20"/>
                <w:szCs w:val="20"/>
                <w:shd w:val="clear" w:fill="FFFFFF"/>
              </w:rPr>
              <w:t>法治统抓有力有序，</w:t>
            </w:r>
            <w:r>
              <w:rPr>
                <w:rFonts w:hint="eastAsia" w:ascii="仿宋" w:hAnsi="仿宋" w:eastAsia="仿宋" w:cs="仿宋"/>
                <w:b w:val="0"/>
                <w:bCs w:val="0"/>
                <w:i w:val="0"/>
                <w:iCs w:val="0"/>
                <w:caps w:val="0"/>
                <w:color w:val="3D3D3D"/>
                <w:spacing w:val="0"/>
                <w:sz w:val="20"/>
                <w:szCs w:val="20"/>
                <w:shd w:val="clear" w:fill="FFFFFF"/>
                <w:lang w:eastAsia="zh-CN"/>
              </w:rPr>
              <w:t>呈现</w:t>
            </w:r>
            <w:r>
              <w:rPr>
                <w:rFonts w:hint="eastAsia" w:ascii="仿宋" w:hAnsi="仿宋" w:eastAsia="仿宋" w:cs="仿宋"/>
                <w:b w:val="0"/>
                <w:bCs w:val="0"/>
                <w:i w:val="0"/>
                <w:iCs w:val="0"/>
                <w:caps w:val="0"/>
                <w:color w:val="3D3D3D"/>
                <w:spacing w:val="0"/>
                <w:sz w:val="20"/>
                <w:szCs w:val="20"/>
                <w:shd w:val="clear" w:fill="FFFFFF"/>
              </w:rPr>
              <w:t>法治保障新格局</w:t>
            </w:r>
            <w:r>
              <w:rPr>
                <w:rFonts w:hint="eastAsia" w:ascii="仿宋" w:hAnsi="仿宋" w:eastAsia="仿宋" w:cs="仿宋"/>
                <w:b w:val="0"/>
                <w:bCs w:val="0"/>
                <w:i w:val="0"/>
                <w:iCs w:val="0"/>
                <w:caps w:val="0"/>
                <w:color w:val="3D3D3D"/>
                <w:spacing w:val="0"/>
                <w:sz w:val="20"/>
                <w:szCs w:val="20"/>
                <w:shd w:val="clear" w:fill="FFFFFF"/>
                <w:lang w:eastAsia="zh-CN"/>
              </w:rPr>
              <w:t>。</w:t>
            </w:r>
          </w:p>
          <w:p w14:paraId="3D273679">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200" w:leftChars="0" w:right="0" w:rightChars="0"/>
              <w:textAlignment w:val="auto"/>
              <w:rPr>
                <w:rFonts w:hint="eastAsia" w:ascii="仿宋" w:hAnsi="仿宋" w:eastAsia="仿宋" w:cs="仿宋"/>
                <w:b w:val="0"/>
                <w:bCs w:val="0"/>
                <w:i w:val="0"/>
                <w:iCs w:val="0"/>
                <w:caps w:val="0"/>
                <w:color w:val="3D3D3D"/>
                <w:spacing w:val="0"/>
                <w:sz w:val="20"/>
                <w:szCs w:val="20"/>
                <w:shd w:val="clear" w:fill="FFFFFF"/>
                <w:lang w:eastAsia="zh-CN"/>
              </w:rPr>
            </w:pPr>
            <w:r>
              <w:rPr>
                <w:rFonts w:hint="eastAsia" w:ascii="仿宋" w:hAnsi="仿宋" w:eastAsia="仿宋" w:cs="仿宋"/>
                <w:b w:val="0"/>
                <w:bCs w:val="0"/>
                <w:i w:val="0"/>
                <w:iCs w:val="0"/>
                <w:caps w:val="0"/>
                <w:color w:val="3D3D3D"/>
                <w:spacing w:val="0"/>
                <w:sz w:val="20"/>
                <w:szCs w:val="20"/>
                <w:shd w:val="clear" w:fill="FFFFFF"/>
                <w:lang w:val="en-US" w:eastAsia="zh-CN"/>
              </w:rPr>
              <w:t>3.</w:t>
            </w:r>
            <w:r>
              <w:rPr>
                <w:rFonts w:hint="eastAsia" w:ascii="仿宋" w:hAnsi="仿宋" w:eastAsia="仿宋" w:cs="仿宋"/>
                <w:b w:val="0"/>
                <w:bCs w:val="0"/>
                <w:i w:val="0"/>
                <w:iCs w:val="0"/>
                <w:caps w:val="0"/>
                <w:color w:val="3D3D3D"/>
                <w:spacing w:val="0"/>
                <w:sz w:val="20"/>
                <w:szCs w:val="20"/>
                <w:shd w:val="clear" w:fill="FFFFFF"/>
              </w:rPr>
              <w:t>依法行政公正公信，</w:t>
            </w:r>
            <w:r>
              <w:rPr>
                <w:rFonts w:hint="eastAsia" w:ascii="仿宋" w:hAnsi="仿宋" w:eastAsia="仿宋" w:cs="仿宋"/>
                <w:b w:val="0"/>
                <w:bCs w:val="0"/>
                <w:i w:val="0"/>
                <w:iCs w:val="0"/>
                <w:caps w:val="0"/>
                <w:color w:val="3D3D3D"/>
                <w:spacing w:val="0"/>
                <w:sz w:val="20"/>
                <w:szCs w:val="20"/>
                <w:shd w:val="clear" w:fill="FFFFFF"/>
                <w:lang w:eastAsia="zh-CN"/>
              </w:rPr>
              <w:t>展现</w:t>
            </w:r>
            <w:r>
              <w:rPr>
                <w:rFonts w:hint="eastAsia" w:ascii="仿宋" w:hAnsi="仿宋" w:eastAsia="仿宋" w:cs="仿宋"/>
                <w:b w:val="0"/>
                <w:bCs w:val="0"/>
                <w:i w:val="0"/>
                <w:iCs w:val="0"/>
                <w:caps w:val="0"/>
                <w:color w:val="3D3D3D"/>
                <w:spacing w:val="0"/>
                <w:sz w:val="20"/>
                <w:szCs w:val="20"/>
                <w:shd w:val="clear" w:fill="FFFFFF"/>
              </w:rPr>
              <w:t>法治政府建设新气象</w:t>
            </w:r>
            <w:r>
              <w:rPr>
                <w:rFonts w:hint="eastAsia" w:ascii="仿宋" w:hAnsi="仿宋" w:eastAsia="仿宋" w:cs="仿宋"/>
                <w:b w:val="0"/>
                <w:bCs w:val="0"/>
                <w:i w:val="0"/>
                <w:iCs w:val="0"/>
                <w:caps w:val="0"/>
                <w:color w:val="3D3D3D"/>
                <w:spacing w:val="0"/>
                <w:sz w:val="20"/>
                <w:szCs w:val="20"/>
                <w:shd w:val="clear" w:fill="FFFFFF"/>
                <w:lang w:eastAsia="zh-CN"/>
              </w:rPr>
              <w:t>。</w:t>
            </w:r>
          </w:p>
          <w:p w14:paraId="44C8D9A8">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200" w:leftChars="0" w:right="0" w:rightChars="0"/>
              <w:textAlignment w:val="auto"/>
              <w:rPr>
                <w:rFonts w:hint="eastAsia" w:ascii="仿宋" w:hAnsi="仿宋" w:eastAsia="仿宋" w:cs="仿宋"/>
                <w:b w:val="0"/>
                <w:bCs w:val="0"/>
                <w:i w:val="0"/>
                <w:iCs w:val="0"/>
                <w:caps w:val="0"/>
                <w:color w:val="3D3D3D"/>
                <w:spacing w:val="0"/>
                <w:sz w:val="20"/>
                <w:szCs w:val="20"/>
                <w:shd w:val="clear" w:fill="FFFFFF"/>
              </w:rPr>
            </w:pPr>
            <w:r>
              <w:rPr>
                <w:rFonts w:hint="eastAsia" w:ascii="仿宋" w:hAnsi="仿宋" w:eastAsia="仿宋" w:cs="仿宋"/>
                <w:b w:val="0"/>
                <w:bCs w:val="0"/>
                <w:i w:val="0"/>
                <w:iCs w:val="0"/>
                <w:caps w:val="0"/>
                <w:color w:val="3D3D3D"/>
                <w:spacing w:val="0"/>
                <w:sz w:val="20"/>
                <w:szCs w:val="20"/>
                <w:shd w:val="clear" w:fill="FFFFFF"/>
                <w:lang w:val="en-US" w:eastAsia="zh-CN"/>
              </w:rPr>
              <w:t>4.</w:t>
            </w:r>
            <w:r>
              <w:rPr>
                <w:rFonts w:hint="eastAsia" w:ascii="仿宋" w:hAnsi="仿宋" w:eastAsia="仿宋" w:cs="仿宋"/>
                <w:b w:val="0"/>
                <w:bCs w:val="0"/>
                <w:i w:val="0"/>
                <w:iCs w:val="0"/>
                <w:caps w:val="0"/>
                <w:color w:val="3D3D3D"/>
                <w:spacing w:val="0"/>
                <w:sz w:val="20"/>
                <w:szCs w:val="20"/>
                <w:shd w:val="clear" w:fill="FFFFFF"/>
              </w:rPr>
              <w:t>服务大局精准精到</w:t>
            </w:r>
            <w:r>
              <w:rPr>
                <w:rFonts w:hint="eastAsia" w:ascii="仿宋" w:hAnsi="仿宋" w:eastAsia="仿宋" w:cs="仿宋"/>
                <w:b w:val="0"/>
                <w:bCs w:val="0"/>
                <w:i w:val="0"/>
                <w:iCs w:val="0"/>
                <w:caps w:val="0"/>
                <w:color w:val="3D3D3D"/>
                <w:spacing w:val="0"/>
                <w:sz w:val="20"/>
                <w:szCs w:val="20"/>
                <w:shd w:val="clear" w:fill="FFFFFF"/>
                <w:lang w:eastAsia="zh-CN"/>
              </w:rPr>
              <w:t>，彰显</w:t>
            </w:r>
            <w:r>
              <w:rPr>
                <w:rFonts w:hint="eastAsia" w:ascii="仿宋" w:hAnsi="仿宋" w:eastAsia="仿宋" w:cs="仿宋"/>
                <w:b w:val="0"/>
                <w:bCs w:val="0"/>
                <w:i w:val="0"/>
                <w:iCs w:val="0"/>
                <w:caps w:val="0"/>
                <w:color w:val="3D3D3D"/>
                <w:spacing w:val="0"/>
                <w:sz w:val="20"/>
                <w:szCs w:val="20"/>
                <w:shd w:val="clear" w:fill="FFFFFF"/>
              </w:rPr>
              <w:t>法治护航新作为。</w:t>
            </w:r>
          </w:p>
          <w:p w14:paraId="19C60045">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200" w:leftChars="0" w:right="0" w:rightChars="0"/>
              <w:textAlignment w:val="auto"/>
              <w:rPr>
                <w:rFonts w:hint="eastAsia" w:ascii="仿宋" w:hAnsi="仿宋" w:eastAsia="仿宋" w:cs="仿宋"/>
                <w:b w:val="0"/>
                <w:bCs w:val="0"/>
                <w:i w:val="0"/>
                <w:iCs w:val="0"/>
                <w:caps w:val="0"/>
                <w:color w:val="3D3D3D"/>
                <w:spacing w:val="0"/>
                <w:sz w:val="20"/>
                <w:szCs w:val="20"/>
                <w:shd w:val="clear" w:fill="FFFFFF"/>
                <w:lang w:eastAsia="zh-CN"/>
              </w:rPr>
            </w:pPr>
            <w:r>
              <w:rPr>
                <w:rFonts w:hint="eastAsia" w:ascii="仿宋" w:hAnsi="仿宋" w:eastAsia="仿宋" w:cs="仿宋"/>
                <w:b w:val="0"/>
                <w:bCs w:val="0"/>
                <w:i w:val="0"/>
                <w:iCs w:val="0"/>
                <w:caps w:val="0"/>
                <w:color w:val="3D3D3D"/>
                <w:spacing w:val="0"/>
                <w:sz w:val="20"/>
                <w:szCs w:val="20"/>
                <w:shd w:val="clear" w:fill="FFFFFF"/>
                <w:lang w:val="en-US" w:eastAsia="zh-CN"/>
              </w:rPr>
              <w:t>5.</w:t>
            </w:r>
            <w:r>
              <w:rPr>
                <w:rFonts w:hint="eastAsia" w:ascii="仿宋" w:hAnsi="仿宋" w:eastAsia="仿宋" w:cs="仿宋"/>
                <w:b w:val="0"/>
                <w:bCs w:val="0"/>
                <w:i w:val="0"/>
                <w:iCs w:val="0"/>
                <w:caps w:val="0"/>
                <w:color w:val="3D3D3D"/>
                <w:spacing w:val="0"/>
                <w:sz w:val="20"/>
                <w:szCs w:val="20"/>
                <w:shd w:val="clear" w:fill="FFFFFF"/>
              </w:rPr>
              <w:t>法治为民用心用力，</w:t>
            </w:r>
            <w:r>
              <w:rPr>
                <w:rFonts w:hint="eastAsia" w:ascii="仿宋" w:hAnsi="仿宋" w:eastAsia="仿宋" w:cs="仿宋"/>
                <w:b w:val="0"/>
                <w:bCs w:val="0"/>
                <w:i w:val="0"/>
                <w:iCs w:val="0"/>
                <w:caps w:val="0"/>
                <w:color w:val="3D3D3D"/>
                <w:spacing w:val="0"/>
                <w:sz w:val="20"/>
                <w:szCs w:val="20"/>
                <w:shd w:val="clear" w:fill="FFFFFF"/>
                <w:lang w:eastAsia="zh-CN"/>
              </w:rPr>
              <w:t>实现</w:t>
            </w:r>
            <w:r>
              <w:rPr>
                <w:rFonts w:hint="eastAsia" w:ascii="仿宋" w:hAnsi="仿宋" w:eastAsia="仿宋" w:cs="仿宋"/>
                <w:b w:val="0"/>
                <w:bCs w:val="0"/>
                <w:i w:val="0"/>
                <w:iCs w:val="0"/>
                <w:caps w:val="0"/>
                <w:color w:val="3D3D3D"/>
                <w:spacing w:val="0"/>
                <w:sz w:val="20"/>
                <w:szCs w:val="20"/>
                <w:shd w:val="clear" w:fill="FFFFFF"/>
              </w:rPr>
              <w:t>法律服务新提升</w:t>
            </w:r>
            <w:r>
              <w:rPr>
                <w:rFonts w:hint="eastAsia" w:ascii="仿宋" w:hAnsi="仿宋" w:eastAsia="仿宋" w:cs="仿宋"/>
                <w:b w:val="0"/>
                <w:bCs w:val="0"/>
                <w:i w:val="0"/>
                <w:iCs w:val="0"/>
                <w:caps w:val="0"/>
                <w:color w:val="3D3D3D"/>
                <w:spacing w:val="0"/>
                <w:sz w:val="20"/>
                <w:szCs w:val="20"/>
                <w:shd w:val="clear" w:fill="FFFFFF"/>
                <w:lang w:eastAsia="zh-CN"/>
              </w:rPr>
              <w:t>。</w:t>
            </w:r>
          </w:p>
          <w:p w14:paraId="0FA2ABE0">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200" w:leftChars="0" w:right="0" w:rightChars="0"/>
              <w:textAlignment w:val="auto"/>
              <w:rPr>
                <w:rFonts w:hint="eastAsia" w:ascii="仿宋" w:hAnsi="仿宋" w:eastAsia="仿宋" w:cs="仿宋"/>
                <w:b w:val="0"/>
                <w:bCs w:val="0"/>
                <w:i w:val="0"/>
                <w:iCs w:val="0"/>
                <w:caps w:val="0"/>
                <w:color w:val="3D3D3D"/>
                <w:spacing w:val="0"/>
                <w:sz w:val="20"/>
                <w:szCs w:val="20"/>
                <w:shd w:val="clear" w:fill="FFFFFF"/>
                <w:lang w:eastAsia="zh-CN"/>
              </w:rPr>
            </w:pPr>
            <w:r>
              <w:rPr>
                <w:rFonts w:hint="eastAsia" w:ascii="仿宋" w:hAnsi="仿宋" w:eastAsia="仿宋" w:cs="仿宋"/>
                <w:b w:val="0"/>
                <w:bCs w:val="0"/>
                <w:i w:val="0"/>
                <w:iCs w:val="0"/>
                <w:caps w:val="0"/>
                <w:color w:val="3D3D3D"/>
                <w:spacing w:val="0"/>
                <w:sz w:val="20"/>
                <w:szCs w:val="20"/>
                <w:shd w:val="clear" w:fill="FFFFFF"/>
                <w:lang w:val="en-US" w:eastAsia="zh-CN"/>
              </w:rPr>
              <w:t>6.</w:t>
            </w:r>
            <w:r>
              <w:rPr>
                <w:rFonts w:hint="eastAsia" w:ascii="仿宋" w:hAnsi="仿宋" w:eastAsia="仿宋" w:cs="仿宋"/>
                <w:b w:val="0"/>
                <w:bCs w:val="0"/>
                <w:i w:val="0"/>
                <w:iCs w:val="0"/>
                <w:caps w:val="0"/>
                <w:color w:val="3D3D3D"/>
                <w:spacing w:val="0"/>
                <w:sz w:val="20"/>
                <w:szCs w:val="20"/>
                <w:shd w:val="clear" w:fill="FFFFFF"/>
              </w:rPr>
              <w:t>基层治理尽职尽责，</w:t>
            </w:r>
            <w:r>
              <w:rPr>
                <w:rFonts w:hint="eastAsia" w:ascii="仿宋" w:hAnsi="仿宋" w:eastAsia="仿宋" w:cs="仿宋"/>
                <w:b w:val="0"/>
                <w:bCs w:val="0"/>
                <w:i w:val="0"/>
                <w:iCs w:val="0"/>
                <w:caps w:val="0"/>
                <w:color w:val="3D3D3D"/>
                <w:spacing w:val="0"/>
                <w:sz w:val="20"/>
                <w:szCs w:val="20"/>
                <w:shd w:val="clear" w:fill="FFFFFF"/>
                <w:lang w:eastAsia="zh-CN"/>
              </w:rPr>
              <w:t>做出</w:t>
            </w:r>
            <w:r>
              <w:rPr>
                <w:rFonts w:hint="eastAsia" w:ascii="仿宋" w:hAnsi="仿宋" w:eastAsia="仿宋" w:cs="仿宋"/>
                <w:b w:val="0"/>
                <w:bCs w:val="0"/>
                <w:i w:val="0"/>
                <w:iCs w:val="0"/>
                <w:caps w:val="0"/>
                <w:color w:val="3D3D3D"/>
                <w:spacing w:val="0"/>
                <w:sz w:val="20"/>
                <w:szCs w:val="20"/>
                <w:shd w:val="clear" w:fill="FFFFFF"/>
              </w:rPr>
              <w:t>平安创建新贡献。</w:t>
            </w:r>
          </w:p>
          <w:p w14:paraId="2963525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3345" w:type="dxa"/>
            <w:gridSpan w:val="4"/>
            <w:noWrap w:val="0"/>
            <w:vAlign w:val="center"/>
          </w:tcPr>
          <w:p w14:paraId="476E8BA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年度总目标均已完成。具体见整体绩效自评报告“六、部门整体支出绩效情况 （二）综合评价情况”</w:t>
            </w:r>
          </w:p>
        </w:tc>
      </w:tr>
      <w:tr w14:paraId="46FDF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127" w:type="dxa"/>
            <w:vMerge w:val="restart"/>
            <w:noWrap w:val="0"/>
            <w:vAlign w:val="center"/>
          </w:tcPr>
          <w:p w14:paraId="035BDBE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23E78F7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1B00A43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55A2E8E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135" w:type="dxa"/>
            <w:noWrap w:val="0"/>
            <w:vAlign w:val="center"/>
          </w:tcPr>
          <w:p w14:paraId="5C87AF3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92" w:type="dxa"/>
            <w:noWrap w:val="0"/>
            <w:vAlign w:val="center"/>
          </w:tcPr>
          <w:p w14:paraId="5249DF6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500" w:type="dxa"/>
            <w:gridSpan w:val="2"/>
            <w:noWrap w:val="0"/>
            <w:vAlign w:val="center"/>
          </w:tcPr>
          <w:p w14:paraId="25945E1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063" w:type="dxa"/>
            <w:noWrap w:val="0"/>
            <w:vAlign w:val="center"/>
          </w:tcPr>
          <w:p w14:paraId="7979DDE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4869957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037" w:type="dxa"/>
            <w:noWrap w:val="0"/>
            <w:vAlign w:val="center"/>
          </w:tcPr>
          <w:p w14:paraId="2C42BB0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1F517EC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545" w:type="dxa"/>
            <w:noWrap w:val="0"/>
            <w:vAlign w:val="center"/>
          </w:tcPr>
          <w:p w14:paraId="6124A5C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05" w:type="dxa"/>
            <w:noWrap w:val="0"/>
            <w:vAlign w:val="center"/>
          </w:tcPr>
          <w:p w14:paraId="2DAC9AD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958" w:type="dxa"/>
            <w:noWrap w:val="0"/>
            <w:vAlign w:val="top"/>
          </w:tcPr>
          <w:p w14:paraId="01A03A1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311B7B3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550F416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719D3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7" w:type="dxa"/>
            <w:vMerge w:val="continue"/>
            <w:noWrap w:val="0"/>
            <w:vAlign w:val="center"/>
          </w:tcPr>
          <w:p w14:paraId="09B89E8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35" w:type="dxa"/>
            <w:vMerge w:val="restart"/>
            <w:noWrap w:val="0"/>
            <w:vAlign w:val="center"/>
          </w:tcPr>
          <w:p w14:paraId="5C94BAA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4F0E4D3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50分)</w:t>
            </w:r>
          </w:p>
        </w:tc>
        <w:tc>
          <w:tcPr>
            <w:tcW w:w="1092" w:type="dxa"/>
            <w:vMerge w:val="restart"/>
            <w:noWrap w:val="0"/>
            <w:vAlign w:val="center"/>
          </w:tcPr>
          <w:p w14:paraId="6F26E5C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w:t>
            </w:r>
          </w:p>
          <w:p w14:paraId="6F63023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500" w:type="dxa"/>
            <w:gridSpan w:val="2"/>
            <w:noWrap w:val="0"/>
            <w:vAlign w:val="center"/>
          </w:tcPr>
          <w:p w14:paraId="68B9BA5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eastAsia="zh-CN"/>
              </w:rPr>
              <w:t>获得国家统一法律职业资格证书人数</w:t>
            </w:r>
          </w:p>
        </w:tc>
        <w:tc>
          <w:tcPr>
            <w:tcW w:w="1063" w:type="dxa"/>
            <w:noWrap w:val="0"/>
            <w:vAlign w:val="center"/>
          </w:tcPr>
          <w:p w14:paraId="00971EC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250</w:t>
            </w:r>
          </w:p>
        </w:tc>
        <w:tc>
          <w:tcPr>
            <w:tcW w:w="1037" w:type="dxa"/>
            <w:noWrap w:val="0"/>
            <w:vAlign w:val="center"/>
          </w:tcPr>
          <w:p w14:paraId="17A2273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270</w:t>
            </w:r>
          </w:p>
        </w:tc>
        <w:tc>
          <w:tcPr>
            <w:tcW w:w="545" w:type="dxa"/>
            <w:noWrap w:val="0"/>
            <w:vAlign w:val="center"/>
          </w:tcPr>
          <w:p w14:paraId="6730E21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4</w:t>
            </w:r>
          </w:p>
        </w:tc>
        <w:tc>
          <w:tcPr>
            <w:tcW w:w="805" w:type="dxa"/>
            <w:noWrap w:val="0"/>
            <w:vAlign w:val="center"/>
          </w:tcPr>
          <w:p w14:paraId="41AAA1A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4</w:t>
            </w:r>
          </w:p>
        </w:tc>
        <w:tc>
          <w:tcPr>
            <w:tcW w:w="958" w:type="dxa"/>
            <w:noWrap w:val="0"/>
            <w:vAlign w:val="center"/>
          </w:tcPr>
          <w:p w14:paraId="3B55F31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p>
        </w:tc>
      </w:tr>
      <w:tr w14:paraId="2E28B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7" w:type="dxa"/>
            <w:vMerge w:val="continue"/>
            <w:noWrap w:val="0"/>
            <w:vAlign w:val="center"/>
          </w:tcPr>
          <w:p w14:paraId="3E0810F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35" w:type="dxa"/>
            <w:vMerge w:val="continue"/>
            <w:noWrap w:val="0"/>
            <w:vAlign w:val="center"/>
          </w:tcPr>
          <w:p w14:paraId="7636F01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2" w:type="dxa"/>
            <w:vMerge w:val="continue"/>
            <w:noWrap w:val="0"/>
            <w:vAlign w:val="center"/>
          </w:tcPr>
          <w:p w14:paraId="33D95CD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500" w:type="dxa"/>
            <w:gridSpan w:val="2"/>
            <w:noWrap w:val="0"/>
            <w:vAlign w:val="center"/>
          </w:tcPr>
          <w:p w14:paraId="28D6C14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法援案件受理数</w:t>
            </w:r>
          </w:p>
        </w:tc>
        <w:tc>
          <w:tcPr>
            <w:tcW w:w="1063" w:type="dxa"/>
            <w:noWrap w:val="0"/>
            <w:vAlign w:val="center"/>
          </w:tcPr>
          <w:p w14:paraId="48B9C7E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300</w:t>
            </w:r>
          </w:p>
        </w:tc>
        <w:tc>
          <w:tcPr>
            <w:tcW w:w="1037" w:type="dxa"/>
            <w:noWrap w:val="0"/>
            <w:vAlign w:val="center"/>
          </w:tcPr>
          <w:p w14:paraId="180A481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589</w:t>
            </w:r>
          </w:p>
        </w:tc>
        <w:tc>
          <w:tcPr>
            <w:tcW w:w="545" w:type="dxa"/>
            <w:noWrap w:val="0"/>
            <w:vAlign w:val="center"/>
          </w:tcPr>
          <w:p w14:paraId="1C323D7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805" w:type="dxa"/>
            <w:noWrap w:val="0"/>
            <w:vAlign w:val="center"/>
          </w:tcPr>
          <w:p w14:paraId="4F17381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958" w:type="dxa"/>
            <w:noWrap w:val="0"/>
            <w:vAlign w:val="center"/>
          </w:tcPr>
          <w:p w14:paraId="326C112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60C76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7" w:type="dxa"/>
            <w:vMerge w:val="continue"/>
            <w:noWrap w:val="0"/>
            <w:vAlign w:val="center"/>
          </w:tcPr>
          <w:p w14:paraId="7DD2DB8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35" w:type="dxa"/>
            <w:vMerge w:val="continue"/>
            <w:noWrap w:val="0"/>
            <w:vAlign w:val="center"/>
          </w:tcPr>
          <w:p w14:paraId="519B8CD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2" w:type="dxa"/>
            <w:vMerge w:val="continue"/>
            <w:noWrap w:val="0"/>
            <w:vAlign w:val="center"/>
          </w:tcPr>
          <w:p w14:paraId="20145F5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500" w:type="dxa"/>
            <w:gridSpan w:val="2"/>
            <w:noWrap w:val="0"/>
            <w:vAlign w:val="center"/>
          </w:tcPr>
          <w:p w14:paraId="15092A1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社区矫正业务培训人数</w:t>
            </w:r>
          </w:p>
        </w:tc>
        <w:tc>
          <w:tcPr>
            <w:tcW w:w="1063" w:type="dxa"/>
            <w:noWrap w:val="0"/>
            <w:vAlign w:val="center"/>
          </w:tcPr>
          <w:p w14:paraId="690DF6B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037" w:type="dxa"/>
            <w:noWrap w:val="0"/>
            <w:vAlign w:val="center"/>
          </w:tcPr>
          <w:p w14:paraId="42B15D1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545" w:type="dxa"/>
            <w:noWrap w:val="0"/>
            <w:vAlign w:val="center"/>
          </w:tcPr>
          <w:p w14:paraId="55EB0F5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805" w:type="dxa"/>
            <w:noWrap w:val="0"/>
            <w:vAlign w:val="center"/>
          </w:tcPr>
          <w:p w14:paraId="71A9EDA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958" w:type="dxa"/>
            <w:noWrap w:val="0"/>
            <w:vAlign w:val="center"/>
          </w:tcPr>
          <w:p w14:paraId="2E6914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05B96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7" w:type="dxa"/>
            <w:vMerge w:val="continue"/>
            <w:noWrap w:val="0"/>
            <w:vAlign w:val="center"/>
          </w:tcPr>
          <w:p w14:paraId="5533399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35" w:type="dxa"/>
            <w:vMerge w:val="continue"/>
            <w:noWrap w:val="0"/>
            <w:vAlign w:val="center"/>
          </w:tcPr>
          <w:p w14:paraId="4A4FA24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2" w:type="dxa"/>
            <w:vMerge w:val="continue"/>
            <w:noWrap w:val="0"/>
            <w:vAlign w:val="center"/>
          </w:tcPr>
          <w:p w14:paraId="11BB79C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500" w:type="dxa"/>
            <w:gridSpan w:val="2"/>
            <w:noWrap w:val="0"/>
            <w:vAlign w:val="center"/>
          </w:tcPr>
          <w:p w14:paraId="0125928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人民调解受理案件数</w:t>
            </w:r>
          </w:p>
        </w:tc>
        <w:tc>
          <w:tcPr>
            <w:tcW w:w="1063" w:type="dxa"/>
            <w:noWrap w:val="0"/>
            <w:vAlign w:val="center"/>
          </w:tcPr>
          <w:p w14:paraId="73B2728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300</w:t>
            </w:r>
          </w:p>
        </w:tc>
        <w:tc>
          <w:tcPr>
            <w:tcW w:w="1037" w:type="dxa"/>
            <w:noWrap w:val="0"/>
            <w:vAlign w:val="center"/>
          </w:tcPr>
          <w:p w14:paraId="1890BD8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330</w:t>
            </w:r>
          </w:p>
        </w:tc>
        <w:tc>
          <w:tcPr>
            <w:tcW w:w="545" w:type="dxa"/>
            <w:noWrap w:val="0"/>
            <w:vAlign w:val="center"/>
          </w:tcPr>
          <w:p w14:paraId="76F6F6B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805" w:type="dxa"/>
            <w:noWrap w:val="0"/>
            <w:vAlign w:val="center"/>
          </w:tcPr>
          <w:p w14:paraId="2FB969A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958" w:type="dxa"/>
            <w:noWrap w:val="0"/>
            <w:vAlign w:val="center"/>
          </w:tcPr>
          <w:p w14:paraId="1217529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10AD6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7" w:type="dxa"/>
            <w:vMerge w:val="continue"/>
            <w:noWrap w:val="0"/>
            <w:vAlign w:val="center"/>
          </w:tcPr>
          <w:p w14:paraId="6DE7661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35" w:type="dxa"/>
            <w:vMerge w:val="continue"/>
            <w:noWrap w:val="0"/>
            <w:vAlign w:val="center"/>
          </w:tcPr>
          <w:p w14:paraId="07FCA4A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2" w:type="dxa"/>
            <w:vMerge w:val="continue"/>
            <w:noWrap w:val="0"/>
            <w:vAlign w:val="center"/>
          </w:tcPr>
          <w:p w14:paraId="0629D49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500" w:type="dxa"/>
            <w:gridSpan w:val="2"/>
            <w:noWrap w:val="0"/>
            <w:vAlign w:val="center"/>
          </w:tcPr>
          <w:p w14:paraId="1DABC46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行政执法案卷评查数量</w:t>
            </w:r>
          </w:p>
        </w:tc>
        <w:tc>
          <w:tcPr>
            <w:tcW w:w="1063" w:type="dxa"/>
            <w:noWrap w:val="0"/>
            <w:vAlign w:val="center"/>
          </w:tcPr>
          <w:p w14:paraId="0636E06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400</w:t>
            </w:r>
          </w:p>
        </w:tc>
        <w:tc>
          <w:tcPr>
            <w:tcW w:w="1037" w:type="dxa"/>
            <w:noWrap w:val="0"/>
            <w:vAlign w:val="center"/>
          </w:tcPr>
          <w:p w14:paraId="22DFE5C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400</w:t>
            </w:r>
          </w:p>
        </w:tc>
        <w:tc>
          <w:tcPr>
            <w:tcW w:w="545" w:type="dxa"/>
            <w:noWrap w:val="0"/>
            <w:vAlign w:val="center"/>
          </w:tcPr>
          <w:p w14:paraId="0D104D2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805" w:type="dxa"/>
            <w:noWrap w:val="0"/>
            <w:vAlign w:val="center"/>
          </w:tcPr>
          <w:p w14:paraId="592FC02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958" w:type="dxa"/>
            <w:noWrap w:val="0"/>
            <w:vAlign w:val="center"/>
          </w:tcPr>
          <w:p w14:paraId="5BDBAC8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F4E8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1127" w:type="dxa"/>
            <w:vMerge w:val="continue"/>
            <w:noWrap w:val="0"/>
            <w:vAlign w:val="center"/>
          </w:tcPr>
          <w:p w14:paraId="30177E7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35" w:type="dxa"/>
            <w:vMerge w:val="continue"/>
            <w:noWrap w:val="0"/>
            <w:vAlign w:val="center"/>
          </w:tcPr>
          <w:p w14:paraId="4DAE5E9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2" w:type="dxa"/>
            <w:vMerge w:val="restart"/>
            <w:noWrap w:val="0"/>
            <w:vAlign w:val="center"/>
          </w:tcPr>
          <w:p w14:paraId="10688CC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w:t>
            </w:r>
          </w:p>
          <w:p w14:paraId="3391ED4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500" w:type="dxa"/>
            <w:gridSpan w:val="2"/>
            <w:noWrap w:val="0"/>
            <w:vAlign w:val="center"/>
          </w:tcPr>
          <w:p w14:paraId="16ED674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法律援助案件办结率</w:t>
            </w:r>
          </w:p>
        </w:tc>
        <w:tc>
          <w:tcPr>
            <w:tcW w:w="1063" w:type="dxa"/>
            <w:noWrap w:val="0"/>
            <w:vAlign w:val="center"/>
          </w:tcPr>
          <w:p w14:paraId="0076FA9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60%</w:t>
            </w:r>
          </w:p>
        </w:tc>
        <w:tc>
          <w:tcPr>
            <w:tcW w:w="1037" w:type="dxa"/>
            <w:noWrap w:val="0"/>
            <w:vAlign w:val="center"/>
          </w:tcPr>
          <w:p w14:paraId="22C300C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61%</w:t>
            </w:r>
          </w:p>
        </w:tc>
        <w:tc>
          <w:tcPr>
            <w:tcW w:w="545" w:type="dxa"/>
            <w:noWrap w:val="0"/>
            <w:vAlign w:val="center"/>
          </w:tcPr>
          <w:p w14:paraId="27CED53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05" w:type="dxa"/>
            <w:noWrap w:val="0"/>
            <w:vAlign w:val="center"/>
          </w:tcPr>
          <w:p w14:paraId="25FF471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958" w:type="dxa"/>
            <w:noWrap w:val="0"/>
            <w:vAlign w:val="center"/>
          </w:tcPr>
          <w:p w14:paraId="59BB538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D4A9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7" w:type="dxa"/>
            <w:vMerge w:val="continue"/>
            <w:noWrap w:val="0"/>
            <w:vAlign w:val="center"/>
          </w:tcPr>
          <w:p w14:paraId="6D6C1D0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35" w:type="dxa"/>
            <w:vMerge w:val="continue"/>
            <w:noWrap w:val="0"/>
            <w:vAlign w:val="center"/>
          </w:tcPr>
          <w:p w14:paraId="3C9485D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2" w:type="dxa"/>
            <w:vMerge w:val="continue"/>
            <w:noWrap w:val="0"/>
            <w:vAlign w:val="center"/>
          </w:tcPr>
          <w:p w14:paraId="2C75709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500" w:type="dxa"/>
            <w:gridSpan w:val="2"/>
            <w:noWrap w:val="0"/>
            <w:vAlign w:val="center"/>
          </w:tcPr>
          <w:p w14:paraId="2CDC872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人民调解案件办结率</w:t>
            </w:r>
          </w:p>
        </w:tc>
        <w:tc>
          <w:tcPr>
            <w:tcW w:w="1063" w:type="dxa"/>
            <w:noWrap w:val="0"/>
            <w:vAlign w:val="center"/>
          </w:tcPr>
          <w:p w14:paraId="350C957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1037" w:type="dxa"/>
            <w:noWrap w:val="0"/>
            <w:vAlign w:val="center"/>
          </w:tcPr>
          <w:p w14:paraId="2BC04E7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97.52%</w:t>
            </w:r>
          </w:p>
        </w:tc>
        <w:tc>
          <w:tcPr>
            <w:tcW w:w="545" w:type="dxa"/>
            <w:noWrap w:val="0"/>
            <w:vAlign w:val="center"/>
          </w:tcPr>
          <w:p w14:paraId="667EFF4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05" w:type="dxa"/>
            <w:noWrap w:val="0"/>
            <w:vAlign w:val="center"/>
          </w:tcPr>
          <w:p w14:paraId="66B31A3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958" w:type="dxa"/>
            <w:noWrap w:val="0"/>
            <w:vAlign w:val="center"/>
          </w:tcPr>
          <w:p w14:paraId="4611B4E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DD02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7" w:type="dxa"/>
            <w:vMerge w:val="continue"/>
            <w:noWrap w:val="0"/>
            <w:vAlign w:val="center"/>
          </w:tcPr>
          <w:p w14:paraId="16E5BC9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35" w:type="dxa"/>
            <w:vMerge w:val="continue"/>
            <w:noWrap w:val="0"/>
            <w:vAlign w:val="center"/>
          </w:tcPr>
          <w:p w14:paraId="7687C7D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2" w:type="dxa"/>
            <w:vMerge w:val="restart"/>
            <w:noWrap w:val="0"/>
            <w:vAlign w:val="center"/>
          </w:tcPr>
          <w:p w14:paraId="21C1F2B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w:t>
            </w:r>
          </w:p>
          <w:p w14:paraId="7066A8A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500" w:type="dxa"/>
            <w:gridSpan w:val="2"/>
            <w:noWrap w:val="0"/>
            <w:vAlign w:val="center"/>
          </w:tcPr>
          <w:p w14:paraId="536D0B4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行政执法案卷评查时间</w:t>
            </w:r>
          </w:p>
        </w:tc>
        <w:tc>
          <w:tcPr>
            <w:tcW w:w="1063" w:type="dxa"/>
            <w:noWrap w:val="0"/>
            <w:vAlign w:val="center"/>
          </w:tcPr>
          <w:p w14:paraId="7043544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2023年12月前</w:t>
            </w:r>
          </w:p>
        </w:tc>
        <w:tc>
          <w:tcPr>
            <w:tcW w:w="1037" w:type="dxa"/>
            <w:noWrap w:val="0"/>
            <w:vAlign w:val="center"/>
          </w:tcPr>
          <w:p w14:paraId="5389C3A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2023年12月前</w:t>
            </w:r>
          </w:p>
        </w:tc>
        <w:tc>
          <w:tcPr>
            <w:tcW w:w="545" w:type="dxa"/>
            <w:noWrap w:val="0"/>
            <w:vAlign w:val="center"/>
          </w:tcPr>
          <w:p w14:paraId="36BB82C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05" w:type="dxa"/>
            <w:noWrap w:val="0"/>
            <w:vAlign w:val="center"/>
          </w:tcPr>
          <w:p w14:paraId="26D0FEB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958" w:type="dxa"/>
            <w:noWrap w:val="0"/>
            <w:vAlign w:val="center"/>
          </w:tcPr>
          <w:p w14:paraId="0ECAB05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8AE4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7" w:type="dxa"/>
            <w:vMerge w:val="continue"/>
            <w:noWrap w:val="0"/>
            <w:vAlign w:val="center"/>
          </w:tcPr>
          <w:p w14:paraId="00553E0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35" w:type="dxa"/>
            <w:vMerge w:val="continue"/>
            <w:noWrap w:val="0"/>
            <w:vAlign w:val="center"/>
          </w:tcPr>
          <w:p w14:paraId="5E8BF7E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2" w:type="dxa"/>
            <w:vMerge w:val="continue"/>
            <w:noWrap w:val="0"/>
            <w:vAlign w:val="center"/>
          </w:tcPr>
          <w:p w14:paraId="77C8BC3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500" w:type="dxa"/>
            <w:gridSpan w:val="2"/>
            <w:noWrap w:val="0"/>
            <w:vAlign w:val="center"/>
          </w:tcPr>
          <w:p w14:paraId="64EEA86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法律援助案件补贴准时发放</w:t>
            </w:r>
          </w:p>
        </w:tc>
        <w:tc>
          <w:tcPr>
            <w:tcW w:w="1063" w:type="dxa"/>
            <w:noWrap w:val="0"/>
            <w:vAlign w:val="center"/>
          </w:tcPr>
          <w:p w14:paraId="1629DA5B">
            <w:pPr>
              <w:keepNext w:val="0"/>
              <w:keepLines w:val="0"/>
              <w:pageBreakBefore w:val="0"/>
              <w:widowControl/>
              <w:kinsoku/>
              <w:wordWrap/>
              <w:overflowPunct/>
              <w:topLinePunct w:val="0"/>
              <w:autoSpaceDE/>
              <w:autoSpaceDN/>
              <w:bidi w:val="0"/>
              <w:adjustRightInd/>
              <w:snapToGrid/>
              <w:spacing w:line="240" w:lineRule="exact"/>
              <w:ind w:firstLine="200" w:firstLineChars="100"/>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是</w:t>
            </w:r>
          </w:p>
        </w:tc>
        <w:tc>
          <w:tcPr>
            <w:tcW w:w="1037" w:type="dxa"/>
            <w:noWrap w:val="0"/>
            <w:vAlign w:val="center"/>
          </w:tcPr>
          <w:p w14:paraId="0AC9C17A">
            <w:pPr>
              <w:keepNext w:val="0"/>
              <w:keepLines w:val="0"/>
              <w:pageBreakBefore w:val="0"/>
              <w:widowControl/>
              <w:kinsoku/>
              <w:wordWrap/>
              <w:overflowPunct/>
              <w:topLinePunct w:val="0"/>
              <w:autoSpaceDE/>
              <w:autoSpaceDN/>
              <w:bidi w:val="0"/>
              <w:adjustRightInd/>
              <w:snapToGrid/>
              <w:spacing w:line="240" w:lineRule="exact"/>
              <w:ind w:firstLine="200" w:firstLineChars="100"/>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是</w:t>
            </w:r>
          </w:p>
        </w:tc>
        <w:tc>
          <w:tcPr>
            <w:tcW w:w="545" w:type="dxa"/>
            <w:noWrap w:val="0"/>
            <w:vAlign w:val="center"/>
          </w:tcPr>
          <w:p w14:paraId="2F544E2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05" w:type="dxa"/>
            <w:noWrap w:val="0"/>
            <w:vAlign w:val="center"/>
          </w:tcPr>
          <w:p w14:paraId="25A5366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958" w:type="dxa"/>
            <w:noWrap w:val="0"/>
            <w:vAlign w:val="center"/>
          </w:tcPr>
          <w:p w14:paraId="6B20397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E205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7" w:type="dxa"/>
            <w:vMerge w:val="continue"/>
            <w:noWrap w:val="0"/>
            <w:vAlign w:val="center"/>
          </w:tcPr>
          <w:p w14:paraId="50C1E81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35" w:type="dxa"/>
            <w:vMerge w:val="continue"/>
            <w:noWrap w:val="0"/>
            <w:vAlign w:val="center"/>
          </w:tcPr>
          <w:p w14:paraId="5E0B5CF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2" w:type="dxa"/>
            <w:noWrap w:val="0"/>
            <w:vAlign w:val="center"/>
          </w:tcPr>
          <w:p w14:paraId="01B33B4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成本</w:t>
            </w:r>
          </w:p>
          <w:p w14:paraId="7D85F0B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500" w:type="dxa"/>
            <w:gridSpan w:val="2"/>
            <w:noWrap w:val="0"/>
            <w:vAlign w:val="center"/>
          </w:tcPr>
          <w:p w14:paraId="7B9DF69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严格按预算执行</w:t>
            </w:r>
          </w:p>
        </w:tc>
        <w:tc>
          <w:tcPr>
            <w:tcW w:w="1063" w:type="dxa"/>
            <w:noWrap w:val="0"/>
            <w:vAlign w:val="center"/>
          </w:tcPr>
          <w:p w14:paraId="5DABBF0D">
            <w:pPr>
              <w:keepNext w:val="0"/>
              <w:keepLines w:val="0"/>
              <w:pageBreakBefore w:val="0"/>
              <w:widowControl/>
              <w:kinsoku/>
              <w:wordWrap/>
              <w:overflowPunct/>
              <w:topLinePunct w:val="0"/>
              <w:autoSpaceDE/>
              <w:autoSpaceDN/>
              <w:bidi w:val="0"/>
              <w:adjustRightInd/>
              <w:snapToGrid/>
              <w:spacing w:line="240" w:lineRule="exact"/>
              <w:ind w:firstLine="200" w:firstLineChars="100"/>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是</w:t>
            </w:r>
          </w:p>
        </w:tc>
        <w:tc>
          <w:tcPr>
            <w:tcW w:w="1037" w:type="dxa"/>
            <w:noWrap w:val="0"/>
            <w:vAlign w:val="center"/>
          </w:tcPr>
          <w:p w14:paraId="5636D2DA">
            <w:pPr>
              <w:keepNext w:val="0"/>
              <w:keepLines w:val="0"/>
              <w:pageBreakBefore w:val="0"/>
              <w:widowControl/>
              <w:kinsoku/>
              <w:wordWrap/>
              <w:overflowPunct/>
              <w:topLinePunct w:val="0"/>
              <w:autoSpaceDE/>
              <w:autoSpaceDN/>
              <w:bidi w:val="0"/>
              <w:adjustRightInd/>
              <w:snapToGrid/>
              <w:spacing w:line="240" w:lineRule="exact"/>
              <w:ind w:firstLine="200" w:firstLineChars="100"/>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是</w:t>
            </w:r>
          </w:p>
        </w:tc>
        <w:tc>
          <w:tcPr>
            <w:tcW w:w="545" w:type="dxa"/>
            <w:noWrap w:val="0"/>
            <w:vAlign w:val="center"/>
          </w:tcPr>
          <w:p w14:paraId="3ACD151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05" w:type="dxa"/>
            <w:noWrap w:val="0"/>
            <w:vAlign w:val="center"/>
          </w:tcPr>
          <w:p w14:paraId="6F16E13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958" w:type="dxa"/>
            <w:noWrap w:val="0"/>
            <w:vAlign w:val="center"/>
          </w:tcPr>
          <w:p w14:paraId="517C26D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C102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7" w:type="dxa"/>
            <w:vMerge w:val="continue"/>
            <w:noWrap w:val="0"/>
            <w:vAlign w:val="center"/>
          </w:tcPr>
          <w:p w14:paraId="652DE9A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35" w:type="dxa"/>
            <w:vMerge w:val="restart"/>
            <w:noWrap w:val="0"/>
            <w:vAlign w:val="center"/>
          </w:tcPr>
          <w:p w14:paraId="5BD3E94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13FAAD0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w:t>
            </w:r>
            <w:r>
              <w:rPr>
                <w:rFonts w:hint="eastAsia" w:ascii="仿宋" w:hAnsi="仿宋" w:eastAsia="仿宋" w:cs="仿宋"/>
                <w:color w:val="000000"/>
                <w:kern w:val="0"/>
                <w:sz w:val="20"/>
                <w:szCs w:val="20"/>
                <w:lang w:val="en-US" w:eastAsia="zh-CN"/>
              </w:rPr>
              <w:t>0</w:t>
            </w:r>
            <w:r>
              <w:rPr>
                <w:rFonts w:hint="eastAsia" w:ascii="仿宋" w:hAnsi="仿宋" w:eastAsia="仿宋" w:cs="仿宋"/>
                <w:color w:val="000000"/>
                <w:kern w:val="0"/>
                <w:sz w:val="20"/>
                <w:szCs w:val="20"/>
              </w:rPr>
              <w:t>分）</w:t>
            </w:r>
          </w:p>
        </w:tc>
        <w:tc>
          <w:tcPr>
            <w:tcW w:w="1092" w:type="dxa"/>
            <w:tcBorders>
              <w:bottom w:val="single" w:color="auto" w:sz="4" w:space="0"/>
            </w:tcBorders>
            <w:noWrap w:val="0"/>
            <w:vAlign w:val="center"/>
          </w:tcPr>
          <w:p w14:paraId="62B12BB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2675039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500" w:type="dxa"/>
            <w:gridSpan w:val="2"/>
            <w:noWrap w:val="0"/>
            <w:vAlign w:val="center"/>
          </w:tcPr>
          <w:p w14:paraId="5CB59B8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提高财政资金使用效益</w:t>
            </w:r>
          </w:p>
        </w:tc>
        <w:tc>
          <w:tcPr>
            <w:tcW w:w="1063" w:type="dxa"/>
            <w:noWrap w:val="0"/>
            <w:vAlign w:val="center"/>
          </w:tcPr>
          <w:p w14:paraId="2052CBF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严格控制三公经费，较上年减少。</w:t>
            </w:r>
          </w:p>
        </w:tc>
        <w:tc>
          <w:tcPr>
            <w:tcW w:w="1037" w:type="dxa"/>
            <w:noWrap w:val="0"/>
            <w:vAlign w:val="center"/>
          </w:tcPr>
          <w:p w14:paraId="6BAB376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eastAsia="zh-CN"/>
              </w:rPr>
              <w:t>三公经费较上年减少了</w:t>
            </w:r>
            <w:r>
              <w:rPr>
                <w:rFonts w:hint="eastAsia" w:ascii="仿宋" w:hAnsi="仿宋" w:eastAsia="仿宋" w:cs="仿宋"/>
                <w:color w:val="000000"/>
                <w:kern w:val="0"/>
                <w:sz w:val="20"/>
                <w:szCs w:val="20"/>
                <w:lang w:val="en-US" w:eastAsia="zh-CN"/>
              </w:rPr>
              <w:t>13%。</w:t>
            </w:r>
          </w:p>
        </w:tc>
        <w:tc>
          <w:tcPr>
            <w:tcW w:w="545" w:type="dxa"/>
            <w:noWrap w:val="0"/>
            <w:vAlign w:val="center"/>
          </w:tcPr>
          <w:p w14:paraId="61A009A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05" w:type="dxa"/>
            <w:noWrap w:val="0"/>
            <w:vAlign w:val="center"/>
          </w:tcPr>
          <w:p w14:paraId="71C7DD9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958" w:type="dxa"/>
            <w:noWrap w:val="0"/>
            <w:vAlign w:val="center"/>
          </w:tcPr>
          <w:p w14:paraId="6B9F703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9BE2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1127" w:type="dxa"/>
            <w:vMerge w:val="continue"/>
            <w:noWrap w:val="0"/>
            <w:vAlign w:val="center"/>
          </w:tcPr>
          <w:p w14:paraId="1D9C011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35" w:type="dxa"/>
            <w:vMerge w:val="continue"/>
            <w:tcBorders>
              <w:right w:val="single" w:color="auto" w:sz="4" w:space="0"/>
            </w:tcBorders>
            <w:noWrap w:val="0"/>
            <w:vAlign w:val="center"/>
          </w:tcPr>
          <w:p w14:paraId="2ABE90D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2" w:type="dxa"/>
            <w:vMerge w:val="restart"/>
            <w:tcBorders>
              <w:top w:val="single" w:color="auto" w:sz="4" w:space="0"/>
              <w:left w:val="single" w:color="auto" w:sz="4" w:space="0"/>
              <w:right w:val="single" w:color="auto" w:sz="4" w:space="0"/>
            </w:tcBorders>
            <w:noWrap w:val="0"/>
            <w:vAlign w:val="center"/>
          </w:tcPr>
          <w:p w14:paraId="613A9ED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79575B2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500" w:type="dxa"/>
            <w:gridSpan w:val="2"/>
            <w:tcBorders>
              <w:left w:val="single" w:color="auto" w:sz="4" w:space="0"/>
            </w:tcBorders>
            <w:noWrap w:val="0"/>
            <w:vAlign w:val="center"/>
          </w:tcPr>
          <w:p w14:paraId="3F09EA3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促进改善办案基础设施和办案条件</w:t>
            </w:r>
          </w:p>
        </w:tc>
        <w:tc>
          <w:tcPr>
            <w:tcW w:w="1063" w:type="dxa"/>
            <w:noWrap w:val="0"/>
            <w:vAlign w:val="center"/>
          </w:tcPr>
          <w:p w14:paraId="08B948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eastAsia="zh-CN"/>
              </w:rPr>
              <w:t>是</w:t>
            </w:r>
          </w:p>
        </w:tc>
        <w:tc>
          <w:tcPr>
            <w:tcW w:w="1037" w:type="dxa"/>
            <w:noWrap w:val="0"/>
            <w:vAlign w:val="center"/>
          </w:tcPr>
          <w:p w14:paraId="5DAC19E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eastAsia="zh-CN"/>
              </w:rPr>
              <w:t>是</w:t>
            </w:r>
          </w:p>
        </w:tc>
        <w:tc>
          <w:tcPr>
            <w:tcW w:w="545" w:type="dxa"/>
            <w:noWrap w:val="0"/>
            <w:vAlign w:val="center"/>
          </w:tcPr>
          <w:p w14:paraId="7A4D949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05" w:type="dxa"/>
            <w:noWrap w:val="0"/>
            <w:vAlign w:val="center"/>
          </w:tcPr>
          <w:p w14:paraId="4C0DAC0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958" w:type="dxa"/>
            <w:noWrap w:val="0"/>
            <w:vAlign w:val="center"/>
          </w:tcPr>
          <w:p w14:paraId="7E94ACF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p>
        </w:tc>
      </w:tr>
      <w:tr w14:paraId="7CEBD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127" w:type="dxa"/>
            <w:vMerge w:val="continue"/>
            <w:noWrap w:val="0"/>
            <w:vAlign w:val="center"/>
          </w:tcPr>
          <w:p w14:paraId="2FD66EF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35" w:type="dxa"/>
            <w:vMerge w:val="continue"/>
            <w:tcBorders>
              <w:right w:val="single" w:color="auto" w:sz="4" w:space="0"/>
            </w:tcBorders>
            <w:noWrap w:val="0"/>
            <w:vAlign w:val="center"/>
          </w:tcPr>
          <w:p w14:paraId="2B8D68B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2" w:type="dxa"/>
            <w:vMerge w:val="continue"/>
            <w:tcBorders>
              <w:left w:val="single" w:color="auto" w:sz="4" w:space="0"/>
              <w:bottom w:val="single" w:color="auto" w:sz="4" w:space="0"/>
              <w:right w:val="single" w:color="auto" w:sz="4" w:space="0"/>
            </w:tcBorders>
            <w:noWrap w:val="0"/>
            <w:vAlign w:val="center"/>
          </w:tcPr>
          <w:p w14:paraId="51FD016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500" w:type="dxa"/>
            <w:gridSpan w:val="2"/>
            <w:tcBorders>
              <w:left w:val="single" w:color="auto" w:sz="4" w:space="0"/>
            </w:tcBorders>
            <w:noWrap w:val="0"/>
            <w:vAlign w:val="center"/>
          </w:tcPr>
          <w:p w14:paraId="50F0A39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为人民群众提供有效的公共法律服务</w:t>
            </w:r>
          </w:p>
        </w:tc>
        <w:tc>
          <w:tcPr>
            <w:tcW w:w="1063" w:type="dxa"/>
            <w:noWrap w:val="0"/>
            <w:vAlign w:val="center"/>
          </w:tcPr>
          <w:p w14:paraId="1E943111">
            <w:pPr>
              <w:keepNext w:val="0"/>
              <w:keepLines w:val="0"/>
              <w:pageBreakBefore w:val="0"/>
              <w:widowControl/>
              <w:kinsoku/>
              <w:wordWrap/>
              <w:overflowPunct/>
              <w:topLinePunct w:val="0"/>
              <w:autoSpaceDE/>
              <w:autoSpaceDN/>
              <w:bidi w:val="0"/>
              <w:adjustRightInd/>
              <w:snapToGrid/>
              <w:spacing w:line="240" w:lineRule="exact"/>
              <w:ind w:firstLine="200" w:firstLineChars="100"/>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是</w:t>
            </w:r>
          </w:p>
        </w:tc>
        <w:tc>
          <w:tcPr>
            <w:tcW w:w="1037" w:type="dxa"/>
            <w:noWrap w:val="0"/>
            <w:vAlign w:val="center"/>
          </w:tcPr>
          <w:p w14:paraId="51218472">
            <w:pPr>
              <w:keepNext w:val="0"/>
              <w:keepLines w:val="0"/>
              <w:pageBreakBefore w:val="0"/>
              <w:widowControl/>
              <w:kinsoku/>
              <w:wordWrap/>
              <w:overflowPunct/>
              <w:topLinePunct w:val="0"/>
              <w:autoSpaceDE/>
              <w:autoSpaceDN/>
              <w:bidi w:val="0"/>
              <w:adjustRightInd/>
              <w:snapToGrid/>
              <w:spacing w:line="240" w:lineRule="exact"/>
              <w:ind w:firstLine="200" w:firstLineChars="100"/>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是</w:t>
            </w:r>
          </w:p>
        </w:tc>
        <w:tc>
          <w:tcPr>
            <w:tcW w:w="545" w:type="dxa"/>
            <w:noWrap w:val="0"/>
            <w:vAlign w:val="center"/>
          </w:tcPr>
          <w:p w14:paraId="4541D90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05" w:type="dxa"/>
            <w:noWrap w:val="0"/>
            <w:vAlign w:val="center"/>
          </w:tcPr>
          <w:p w14:paraId="2B9FD57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958" w:type="dxa"/>
            <w:noWrap w:val="0"/>
            <w:vAlign w:val="center"/>
          </w:tcPr>
          <w:p w14:paraId="1527FBC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公共法律服务有待更进一步提升</w:t>
            </w:r>
          </w:p>
        </w:tc>
      </w:tr>
      <w:tr w14:paraId="08162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7" w:type="dxa"/>
            <w:vMerge w:val="continue"/>
            <w:noWrap w:val="0"/>
            <w:vAlign w:val="center"/>
          </w:tcPr>
          <w:p w14:paraId="00A220B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35" w:type="dxa"/>
            <w:vMerge w:val="continue"/>
            <w:noWrap w:val="0"/>
            <w:vAlign w:val="center"/>
          </w:tcPr>
          <w:p w14:paraId="4B0479F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2" w:type="dxa"/>
            <w:vMerge w:val="restart"/>
            <w:tcBorders>
              <w:top w:val="single" w:color="auto" w:sz="4" w:space="0"/>
              <w:bottom w:val="single" w:color="auto" w:sz="4" w:space="0"/>
            </w:tcBorders>
            <w:noWrap w:val="0"/>
            <w:vAlign w:val="center"/>
          </w:tcPr>
          <w:p w14:paraId="0B15393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500" w:type="dxa"/>
            <w:gridSpan w:val="2"/>
            <w:noWrap w:val="0"/>
            <w:vAlign w:val="center"/>
          </w:tcPr>
          <w:p w14:paraId="1226A19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全民普法工作</w:t>
            </w:r>
          </w:p>
        </w:tc>
        <w:tc>
          <w:tcPr>
            <w:tcW w:w="1063" w:type="dxa"/>
            <w:noWrap w:val="0"/>
            <w:vAlign w:val="center"/>
          </w:tcPr>
          <w:p w14:paraId="170CAAD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是否全年持续开展</w:t>
            </w:r>
          </w:p>
        </w:tc>
        <w:tc>
          <w:tcPr>
            <w:tcW w:w="1037" w:type="dxa"/>
            <w:noWrap w:val="0"/>
            <w:vAlign w:val="center"/>
          </w:tcPr>
          <w:p w14:paraId="198D8EC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全年以广学法、考法、宣讲等多种形式开展普法宣传工作</w:t>
            </w:r>
          </w:p>
        </w:tc>
        <w:tc>
          <w:tcPr>
            <w:tcW w:w="545" w:type="dxa"/>
            <w:noWrap w:val="0"/>
            <w:vAlign w:val="center"/>
          </w:tcPr>
          <w:p w14:paraId="3634D7F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05" w:type="dxa"/>
            <w:noWrap w:val="0"/>
            <w:vAlign w:val="center"/>
          </w:tcPr>
          <w:p w14:paraId="483CC2A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958" w:type="dxa"/>
            <w:noWrap w:val="0"/>
            <w:vAlign w:val="center"/>
          </w:tcPr>
          <w:p w14:paraId="4759C2D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4C8F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127" w:type="dxa"/>
            <w:vMerge w:val="continue"/>
            <w:noWrap w:val="0"/>
            <w:vAlign w:val="center"/>
          </w:tcPr>
          <w:p w14:paraId="463F44F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35" w:type="dxa"/>
            <w:vMerge w:val="continue"/>
            <w:noWrap w:val="0"/>
            <w:vAlign w:val="center"/>
          </w:tcPr>
          <w:p w14:paraId="676B076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2" w:type="dxa"/>
            <w:vMerge w:val="continue"/>
            <w:tcBorders>
              <w:top w:val="single" w:color="auto" w:sz="4" w:space="0"/>
              <w:bottom w:val="single" w:color="auto" w:sz="4" w:space="0"/>
            </w:tcBorders>
            <w:noWrap w:val="0"/>
            <w:vAlign w:val="center"/>
          </w:tcPr>
          <w:p w14:paraId="274B8C5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500" w:type="dxa"/>
            <w:gridSpan w:val="2"/>
            <w:noWrap w:val="0"/>
            <w:vAlign w:val="center"/>
          </w:tcPr>
          <w:p w14:paraId="0B61390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推进全市司法行政工作高质量发展</w:t>
            </w:r>
          </w:p>
        </w:tc>
        <w:tc>
          <w:tcPr>
            <w:tcW w:w="1063" w:type="dxa"/>
            <w:noWrap w:val="0"/>
            <w:vAlign w:val="center"/>
          </w:tcPr>
          <w:p w14:paraId="17A0B7D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有效提高，做出新贡献</w:t>
            </w:r>
          </w:p>
        </w:tc>
        <w:tc>
          <w:tcPr>
            <w:tcW w:w="1037" w:type="dxa"/>
            <w:noWrap w:val="0"/>
            <w:vAlign w:val="center"/>
          </w:tcPr>
          <w:p w14:paraId="3F632F7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见整体绩效自评报告“六、部门整体支出绩效情况（二）综合评价情况”。</w:t>
            </w:r>
          </w:p>
        </w:tc>
        <w:tc>
          <w:tcPr>
            <w:tcW w:w="545" w:type="dxa"/>
            <w:noWrap w:val="0"/>
            <w:vAlign w:val="center"/>
          </w:tcPr>
          <w:p w14:paraId="4BDDFE1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05" w:type="dxa"/>
            <w:noWrap w:val="0"/>
            <w:vAlign w:val="center"/>
          </w:tcPr>
          <w:p w14:paraId="407BEEA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958" w:type="dxa"/>
            <w:noWrap w:val="0"/>
            <w:vAlign w:val="center"/>
          </w:tcPr>
          <w:p w14:paraId="1E5B422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p>
        </w:tc>
      </w:tr>
      <w:tr w14:paraId="4BC77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7" w:type="dxa"/>
            <w:vMerge w:val="continue"/>
            <w:noWrap w:val="0"/>
            <w:vAlign w:val="center"/>
          </w:tcPr>
          <w:p w14:paraId="18872F0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35" w:type="dxa"/>
            <w:noWrap w:val="0"/>
            <w:vAlign w:val="center"/>
          </w:tcPr>
          <w:p w14:paraId="2838C49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47250C0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15C57A6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（10分）</w:t>
            </w:r>
          </w:p>
        </w:tc>
        <w:tc>
          <w:tcPr>
            <w:tcW w:w="1092" w:type="dxa"/>
            <w:tcBorders>
              <w:top w:val="single" w:color="auto" w:sz="4" w:space="0"/>
            </w:tcBorders>
            <w:noWrap w:val="0"/>
            <w:vAlign w:val="center"/>
          </w:tcPr>
          <w:p w14:paraId="4AF7E7E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500" w:type="dxa"/>
            <w:gridSpan w:val="2"/>
            <w:noWrap w:val="0"/>
            <w:vAlign w:val="center"/>
          </w:tcPr>
          <w:p w14:paraId="4D044B6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法律援助受援对象满意度</w:t>
            </w:r>
          </w:p>
        </w:tc>
        <w:tc>
          <w:tcPr>
            <w:tcW w:w="1063" w:type="dxa"/>
            <w:noWrap w:val="0"/>
            <w:vAlign w:val="center"/>
          </w:tcPr>
          <w:p w14:paraId="50F1A13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1037" w:type="dxa"/>
            <w:noWrap w:val="0"/>
            <w:vAlign w:val="center"/>
          </w:tcPr>
          <w:p w14:paraId="512B624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545" w:type="dxa"/>
            <w:noWrap w:val="0"/>
            <w:vAlign w:val="center"/>
          </w:tcPr>
          <w:p w14:paraId="02B6562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05" w:type="dxa"/>
            <w:noWrap w:val="0"/>
            <w:vAlign w:val="center"/>
          </w:tcPr>
          <w:p w14:paraId="422A9E0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958" w:type="dxa"/>
            <w:noWrap w:val="0"/>
            <w:vAlign w:val="center"/>
          </w:tcPr>
          <w:p w14:paraId="6313882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7836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54" w:type="dxa"/>
            <w:gridSpan w:val="7"/>
            <w:noWrap w:val="0"/>
            <w:vAlign w:val="center"/>
          </w:tcPr>
          <w:p w14:paraId="48536C5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545" w:type="dxa"/>
            <w:noWrap w:val="0"/>
            <w:vAlign w:val="center"/>
          </w:tcPr>
          <w:p w14:paraId="27AC4E2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05" w:type="dxa"/>
            <w:noWrap w:val="0"/>
            <w:vAlign w:val="center"/>
          </w:tcPr>
          <w:p w14:paraId="05DB5A7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99</w:t>
            </w:r>
          </w:p>
        </w:tc>
        <w:tc>
          <w:tcPr>
            <w:tcW w:w="958" w:type="dxa"/>
            <w:noWrap w:val="0"/>
            <w:vAlign w:val="center"/>
          </w:tcPr>
          <w:p w14:paraId="665BC7D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0E757B34">
      <w:pPr>
        <w:widowControl w:val="0"/>
        <w:kinsoku/>
        <w:autoSpaceDE/>
        <w:autoSpaceDN/>
        <w:adjustRightInd/>
        <w:snapToGrid/>
        <w:spacing w:line="600" w:lineRule="exact"/>
        <w:jc w:val="both"/>
        <w:textAlignment w:val="auto"/>
        <w:rPr>
          <w:rFonts w:hint="default" w:ascii="Times New Roman" w:hAnsi="Times New Roman" w:eastAsia="仿宋_GB2312" w:cs="Times New Roman"/>
          <w:snapToGrid/>
          <w:color w:val="000000"/>
          <w:kern w:val="0"/>
          <w:sz w:val="32"/>
          <w:szCs w:val="32"/>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  刘希敏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  2024年6月18日     </w:t>
      </w:r>
      <w:r>
        <w:rPr>
          <w:rFonts w:hint="default" w:ascii="Times New Roman" w:hAnsi="Times New Roman" w:eastAsia="仿宋_GB2312" w:cs="Times New Roman"/>
          <w:snapToGrid/>
          <w:color w:val="000000"/>
          <w:kern w:val="0"/>
          <w:sz w:val="24"/>
          <w:szCs w:val="24"/>
          <w:lang w:val="en-US" w:eastAsia="zh-CN" w:bidi="ar-SA"/>
        </w:rPr>
        <w:t xml:space="preserve"> 联系电话：</w:t>
      </w:r>
      <w:r>
        <w:rPr>
          <w:rFonts w:hint="eastAsia" w:ascii="Times New Roman" w:hAnsi="Times New Roman" w:eastAsia="仿宋_GB2312" w:cs="Times New Roman"/>
          <w:snapToGrid/>
          <w:color w:val="000000"/>
          <w:kern w:val="0"/>
          <w:sz w:val="24"/>
          <w:szCs w:val="24"/>
          <w:lang w:val="en-US" w:eastAsia="zh-CN" w:bidi="ar-SA"/>
        </w:rPr>
        <w:t xml:space="preserve"> 2711853</w:t>
      </w:r>
    </w:p>
    <w:p w14:paraId="4F9BE2DA">
      <w:pPr>
        <w:rPr>
          <w:rFonts w:hint="default"/>
          <w:lang w:val="en-US" w:eastAsia="zh-CN"/>
        </w:rPr>
      </w:pPr>
    </w:p>
    <w:sectPr>
      <w:footerReference r:id="rId3" w:type="default"/>
      <w:pgSz w:w="11906" w:h="16838"/>
      <w:pgMar w:top="2098" w:right="1800"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7F817C8-6BA2-41C3-B7C5-E4ADD010D299}"/>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811FC1DC-4177-403A-AB96-B3D4B14BF319}"/>
  </w:font>
  <w:font w:name="Calibri Light">
    <w:panose1 w:val="020F0302020204030204"/>
    <w:charset w:val="00"/>
    <w:family w:val="auto"/>
    <w:pitch w:val="default"/>
    <w:sig w:usb0="A00002EF" w:usb1="4000207B" w:usb2="00000000" w:usb3="00000000" w:csb0="2000019F" w:csb1="00000000"/>
  </w:font>
  <w:font w:name="楷体_GB2312">
    <w:panose1 w:val="02010609030101010101"/>
    <w:charset w:val="86"/>
    <w:family w:val="auto"/>
    <w:pitch w:val="default"/>
    <w:sig w:usb0="00000001" w:usb1="080E0000" w:usb2="00000000" w:usb3="00000000" w:csb0="00040000" w:csb1="00000000"/>
    <w:embedRegular r:id="rId3" w:fontKey="{2D906428-C921-492B-8E4A-2B1562BBECF8}"/>
  </w:font>
  <w:font w:name="方正小标宋_GBK">
    <w:panose1 w:val="03000509000000000000"/>
    <w:charset w:val="86"/>
    <w:family w:val="auto"/>
    <w:pitch w:val="default"/>
    <w:sig w:usb0="00000001" w:usb1="080E0000" w:usb2="00000000" w:usb3="00000000" w:csb0="00040000" w:csb1="00000000"/>
    <w:embedRegular r:id="rId4" w:fontKey="{567947F4-DB60-4647-907B-7DAEBDD66CED}"/>
  </w:font>
  <w:font w:name="仿宋_GB2312">
    <w:panose1 w:val="02010609030101010101"/>
    <w:charset w:val="86"/>
    <w:family w:val="auto"/>
    <w:pitch w:val="default"/>
    <w:sig w:usb0="00000001" w:usb1="080E0000" w:usb2="00000000" w:usb3="00000000" w:csb0="00040000" w:csb1="00000000"/>
    <w:embedRegular r:id="rId5" w:fontKey="{883D4A19-971D-4640-98E9-3DE8F34D5D1F}"/>
  </w:font>
  <w:font w:name="仿宋">
    <w:panose1 w:val="02010609060101010101"/>
    <w:charset w:val="86"/>
    <w:family w:val="auto"/>
    <w:pitch w:val="default"/>
    <w:sig w:usb0="800002BF" w:usb1="38CF7CFA" w:usb2="00000016" w:usb3="00000000" w:csb0="00040001" w:csb1="00000000"/>
    <w:embedRegular r:id="rId6" w:fontKey="{327E7E89-B156-4897-B4A0-996931CF5F57}"/>
  </w:font>
  <w:font w:name="楷体">
    <w:panose1 w:val="02010609060101010101"/>
    <w:charset w:val="86"/>
    <w:family w:val="auto"/>
    <w:pitch w:val="default"/>
    <w:sig w:usb0="800002BF" w:usb1="38CF7CFA" w:usb2="00000016" w:usb3="00000000" w:csb0="00040001" w:csb1="00000000"/>
    <w:embedRegular r:id="rId7" w:fontKey="{07AEB2D7-833F-48BB-842E-AD268551BC1C}"/>
  </w:font>
  <w:font w:name="方正小标宋简体">
    <w:panose1 w:val="03000509000000000000"/>
    <w:charset w:val="86"/>
    <w:family w:val="auto"/>
    <w:pitch w:val="default"/>
    <w:sig w:usb0="00000001" w:usb1="080E0000" w:usb2="00000000" w:usb3="00000000" w:csb0="00040000" w:csb1="00000000"/>
    <w:embedRegular r:id="rId8" w:fontKey="{88EBC16F-C966-4705-B7B1-5FA1FFC372C6}"/>
  </w:font>
  <w:font w:name="方正仿宋_GB2312">
    <w:altName w:val="仿宋"/>
    <w:panose1 w:val="02000000000000000000"/>
    <w:charset w:val="86"/>
    <w:family w:val="auto"/>
    <w:pitch w:val="default"/>
    <w:sig w:usb0="00000000" w:usb1="00000000" w:usb2="00000012" w:usb3="00000000" w:csb0="00040001" w:csb1="00000000"/>
    <w:embedRegular r:id="rId9" w:fontKey="{7974FB6A-BDAA-4F3C-AF78-F62FA8AEDD7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46C9F5">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C2585C">
                          <w:pPr>
                            <w:pStyle w:val="5"/>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5C2585C">
                    <w:pPr>
                      <w:pStyle w:val="5"/>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1A6FAC"/>
    <w:multiLevelType w:val="singleLevel"/>
    <w:tmpl w:val="2D1A6FAC"/>
    <w:lvl w:ilvl="0" w:tentative="0">
      <w:start w:val="4"/>
      <w:numFmt w:val="chineseCounting"/>
      <w:suff w:val="nothing"/>
      <w:lvlText w:val="%1、"/>
      <w:lvlJc w:val="left"/>
      <w:rPr>
        <w:rFonts w:hint="eastAsia"/>
      </w:rPr>
    </w:lvl>
  </w:abstractNum>
  <w:abstractNum w:abstractNumId="1">
    <w:nsid w:val="36FD4C07"/>
    <w:multiLevelType w:val="singleLevel"/>
    <w:tmpl w:val="36FD4C07"/>
    <w:lvl w:ilvl="0" w:tentative="0">
      <w:start w:val="1"/>
      <w:numFmt w:val="decimal"/>
      <w:lvlText w:val="%1."/>
      <w:lvlJc w:val="left"/>
      <w:pPr>
        <w:tabs>
          <w:tab w:val="left" w:pos="312"/>
        </w:tabs>
        <w:ind w:left="200" w:leftChars="0" w:firstLine="0" w:firstLineChars="0"/>
      </w:pPr>
    </w:lvl>
  </w:abstractNum>
  <w:abstractNum w:abstractNumId="2">
    <w:nsid w:val="5B1FA19B"/>
    <w:multiLevelType w:val="singleLevel"/>
    <w:tmpl w:val="5B1FA19B"/>
    <w:lvl w:ilvl="0" w:tentative="0">
      <w:start w:val="8"/>
      <w:numFmt w:val="chineseCounting"/>
      <w:suff w:val="nothing"/>
      <w:lvlText w:val="%1、"/>
      <w:lvlJc w:val="left"/>
      <w:rPr>
        <w:rFonts w:hint="eastAsia"/>
      </w:rPr>
    </w:lvl>
  </w:abstractNum>
  <w:abstractNum w:abstractNumId="3">
    <w:nsid w:val="6D81380E"/>
    <w:multiLevelType w:val="singleLevel"/>
    <w:tmpl w:val="6D81380E"/>
    <w:lvl w:ilvl="0" w:tentative="0">
      <w:start w:val="1"/>
      <w:numFmt w:val="chineseCounting"/>
      <w:suff w:val="nothing"/>
      <w:lvlText w:val="（%1）"/>
      <w:lvlJc w:val="left"/>
      <w:rPr>
        <w:rFonts w:hint="eastAsia"/>
      </w:rPr>
    </w:lvl>
  </w:abstractNum>
  <w:abstractNum w:abstractNumId="4">
    <w:nsid w:val="75F91F70"/>
    <w:multiLevelType w:val="singleLevel"/>
    <w:tmpl w:val="75F91F70"/>
    <w:lvl w:ilvl="0" w:tentative="0">
      <w:start w:val="2"/>
      <w:numFmt w:val="chineseCounting"/>
      <w:suff w:val="nothing"/>
      <w:lvlText w:val="（%1）"/>
      <w:lvlJc w:val="left"/>
      <w:rPr>
        <w:rFonts w:hint="eastAsia"/>
      </w:r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U1ZTgwMmJjNDcyNjkwNzUxNzZlNGEyMWYwOTQwOGUifQ=="/>
    <w:docVar w:name="KSO_WPS_MARK_KEY" w:val="9920a277-c0c3-43b4-93d3-1636fe398e0b"/>
  </w:docVars>
  <w:rsids>
    <w:rsidRoot w:val="753C4E9B"/>
    <w:rsid w:val="00764F3D"/>
    <w:rsid w:val="00E601BC"/>
    <w:rsid w:val="0294040A"/>
    <w:rsid w:val="029E33B8"/>
    <w:rsid w:val="05E95AA6"/>
    <w:rsid w:val="091C227A"/>
    <w:rsid w:val="096A18E0"/>
    <w:rsid w:val="0B757518"/>
    <w:rsid w:val="0BB400A4"/>
    <w:rsid w:val="0C180A78"/>
    <w:rsid w:val="0D276746"/>
    <w:rsid w:val="0D464D9C"/>
    <w:rsid w:val="0DD52794"/>
    <w:rsid w:val="0E956870"/>
    <w:rsid w:val="1004301C"/>
    <w:rsid w:val="10BA44A7"/>
    <w:rsid w:val="10C666A5"/>
    <w:rsid w:val="11A7392F"/>
    <w:rsid w:val="1223366A"/>
    <w:rsid w:val="140D4CE4"/>
    <w:rsid w:val="143877FD"/>
    <w:rsid w:val="19E805B2"/>
    <w:rsid w:val="1A1C64E7"/>
    <w:rsid w:val="1ABE27C4"/>
    <w:rsid w:val="1B984BD4"/>
    <w:rsid w:val="1C4F49F6"/>
    <w:rsid w:val="1E532F58"/>
    <w:rsid w:val="1F040613"/>
    <w:rsid w:val="1FAE6B64"/>
    <w:rsid w:val="1FF621C7"/>
    <w:rsid w:val="20A24366"/>
    <w:rsid w:val="22FE234B"/>
    <w:rsid w:val="2423558B"/>
    <w:rsid w:val="25CD79B1"/>
    <w:rsid w:val="26750920"/>
    <w:rsid w:val="277E6F02"/>
    <w:rsid w:val="29990575"/>
    <w:rsid w:val="299F0391"/>
    <w:rsid w:val="2A264C80"/>
    <w:rsid w:val="2AF6742D"/>
    <w:rsid w:val="2B323B26"/>
    <w:rsid w:val="2E833798"/>
    <w:rsid w:val="2ECA3160"/>
    <w:rsid w:val="2F7D72A2"/>
    <w:rsid w:val="2FAE74B3"/>
    <w:rsid w:val="2FB40A23"/>
    <w:rsid w:val="30C74578"/>
    <w:rsid w:val="312A2265"/>
    <w:rsid w:val="319B515F"/>
    <w:rsid w:val="36EF7875"/>
    <w:rsid w:val="36FC0F5D"/>
    <w:rsid w:val="375773F8"/>
    <w:rsid w:val="37863FCB"/>
    <w:rsid w:val="393E32BB"/>
    <w:rsid w:val="39E1404C"/>
    <w:rsid w:val="3A183DE3"/>
    <w:rsid w:val="3AF94DFB"/>
    <w:rsid w:val="3C87295A"/>
    <w:rsid w:val="3FCA4C43"/>
    <w:rsid w:val="41495917"/>
    <w:rsid w:val="419B2857"/>
    <w:rsid w:val="41D71DA8"/>
    <w:rsid w:val="42533B5D"/>
    <w:rsid w:val="42F20F74"/>
    <w:rsid w:val="44B30262"/>
    <w:rsid w:val="44DE5E0D"/>
    <w:rsid w:val="45B55914"/>
    <w:rsid w:val="462F425A"/>
    <w:rsid w:val="47CA0745"/>
    <w:rsid w:val="48815688"/>
    <w:rsid w:val="491B7687"/>
    <w:rsid w:val="4AE16339"/>
    <w:rsid w:val="4C6611ED"/>
    <w:rsid w:val="4D3A5EFE"/>
    <w:rsid w:val="4E7B7C24"/>
    <w:rsid w:val="525B2EEA"/>
    <w:rsid w:val="536456F8"/>
    <w:rsid w:val="552A0475"/>
    <w:rsid w:val="575F7B8F"/>
    <w:rsid w:val="576F7F78"/>
    <w:rsid w:val="578D10CB"/>
    <w:rsid w:val="57F70F41"/>
    <w:rsid w:val="5A5915AC"/>
    <w:rsid w:val="5AA90D20"/>
    <w:rsid w:val="5BAA245F"/>
    <w:rsid w:val="5C11169E"/>
    <w:rsid w:val="5D32152C"/>
    <w:rsid w:val="5E3F1458"/>
    <w:rsid w:val="61574650"/>
    <w:rsid w:val="615E35D8"/>
    <w:rsid w:val="652847DA"/>
    <w:rsid w:val="69016F74"/>
    <w:rsid w:val="6A12486A"/>
    <w:rsid w:val="6A9B35E1"/>
    <w:rsid w:val="6D0E30DA"/>
    <w:rsid w:val="6DFA4ADD"/>
    <w:rsid w:val="6E492A0F"/>
    <w:rsid w:val="6F9F6029"/>
    <w:rsid w:val="709661BE"/>
    <w:rsid w:val="714247DD"/>
    <w:rsid w:val="753C4E9B"/>
    <w:rsid w:val="761A0C71"/>
    <w:rsid w:val="76230C4F"/>
    <w:rsid w:val="781113A7"/>
    <w:rsid w:val="785F51D8"/>
    <w:rsid w:val="791E6510"/>
    <w:rsid w:val="79A36B51"/>
    <w:rsid w:val="7A9C2177"/>
    <w:rsid w:val="7ABF43A4"/>
    <w:rsid w:val="7B0439E6"/>
    <w:rsid w:val="7C8D4A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iPriority="99"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3">
    <w:name w:val="index 5"/>
    <w:basedOn w:val="1"/>
    <w:next w:val="1"/>
    <w:autoRedefine/>
    <w:unhideWhenUsed/>
    <w:qFormat/>
    <w:uiPriority w:val="99"/>
    <w:pPr>
      <w:ind w:left="800" w:leftChars="800"/>
    </w:pPr>
  </w:style>
  <w:style w:type="paragraph" w:styleId="4">
    <w:name w:val="Body Text Indent"/>
    <w:basedOn w:val="1"/>
    <w:autoRedefine/>
    <w:unhideWhenUsed/>
    <w:qFormat/>
    <w:uiPriority w:val="0"/>
    <w:pPr>
      <w:spacing w:beforeLines="0" w:afterLines="0"/>
      <w:ind w:firstLine="640" w:firstLineChars="200"/>
    </w:pPr>
    <w:rPr>
      <w:rFonts w:hint="default"/>
      <w:sz w:val="32"/>
    </w:rPr>
  </w:style>
  <w:style w:type="paragraph" w:styleId="5">
    <w:name w:val="footer"/>
    <w:basedOn w:val="1"/>
    <w:next w:val="3"/>
    <w:autoRedefine/>
    <w:qFormat/>
    <w:uiPriority w:val="0"/>
    <w:pPr>
      <w:tabs>
        <w:tab w:val="center" w:pos="4153"/>
        <w:tab w:val="right" w:pos="8306"/>
      </w:tabs>
      <w:snapToGrid w:val="0"/>
      <w:jc w:val="left"/>
    </w:pPr>
    <w:rPr>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8">
    <w:name w:val="Body Text First Indent 2"/>
    <w:basedOn w:val="4"/>
    <w:autoRedefine/>
    <w:unhideWhenUsed/>
    <w:qFormat/>
    <w:uiPriority w:val="99"/>
    <w:pPr>
      <w:spacing w:beforeLines="0" w:afterLines="0"/>
      <w:ind w:firstLine="420"/>
    </w:pPr>
    <w:rPr>
      <w:rFonts w:hint="default"/>
      <w:sz w:val="32"/>
    </w:rPr>
  </w:style>
  <w:style w:type="paragraph" w:customStyle="1" w:styleId="11">
    <w:name w:val="标题1"/>
    <w:basedOn w:val="2"/>
    <w:autoRedefine/>
    <w:qFormat/>
    <w:uiPriority w:val="0"/>
    <w:rPr>
      <w:rFonts w:eastAsia="黑体"/>
    </w:rPr>
  </w:style>
  <w:style w:type="paragraph" w:customStyle="1" w:styleId="12">
    <w:name w:val="首行缩进"/>
    <w:basedOn w:val="1"/>
    <w:autoRedefine/>
    <w:qFormat/>
    <w:uiPriority w:val="0"/>
    <w:pPr>
      <w:ind w:firstLine="480" w:firstLineChars="200"/>
    </w:pPr>
    <w:rPr>
      <w:lang w:val="zh-CN"/>
    </w:rPr>
  </w:style>
  <w:style w:type="paragraph" w:customStyle="1" w:styleId="13">
    <w:name w:val="无间隔"/>
    <w:qFormat/>
    <w:uiPriority w:val="0"/>
    <w:pPr>
      <w:widowControl w:val="0"/>
      <w:jc w:val="both"/>
    </w:pPr>
    <w:rPr>
      <w:rFonts w:ascii="Calibri" w:hAnsi="Calibri" w:eastAsia="宋体" w:cs="Times New Roman"/>
      <w:kern w:val="2"/>
      <w:sz w:val="21"/>
      <w:szCs w:val="22"/>
      <w:lang w:val="en-US" w:eastAsia="zh-CN" w:bidi="ar-SA"/>
    </w:rPr>
  </w:style>
  <w:style w:type="paragraph" w:customStyle="1" w:styleId="14">
    <w:name w:val="Default"/>
    <w:autoRedefine/>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6765</Words>
  <Characters>7294</Characters>
  <Lines>0</Lines>
  <Paragraphs>0</Paragraphs>
  <TotalTime>8</TotalTime>
  <ScaleCrop>false</ScaleCrop>
  <LinksUpToDate>false</LinksUpToDate>
  <CharactersWithSpaces>7516</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2024-02-22T02:03:00Z</dcterms:created>
  <dc:creator>1402836399</dc:creator>
  <cp:lastModifiedBy>Administrator</cp:lastModifiedBy>
  <cp:lastPrinted>2024-06-14T01:56:00Z</cp:lastPrinted>
  <dcterms:modified xsi:type="dcterms:W3CDTF">2024-06-19T01:24:21Z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4B545E2748234224AA7888E0D1AE4147_13</vt:lpwstr>
  </property>
</Properties>
</file>