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Ansi="黑体"/>
          <w:sz w:val="36"/>
          <w:szCs w:val="36"/>
        </w:rPr>
      </w:pPr>
      <w:bookmarkStart w:id="3" w:name="_GoBack"/>
      <w:bookmarkEnd w:id="3"/>
      <w:r>
        <w:rPr>
          <w:rFonts w:hint="eastAsia" w:hAnsi="黑体"/>
          <w:sz w:val="36"/>
          <w:szCs w:val="36"/>
        </w:rPr>
        <w:t>附件1</w:t>
      </w:r>
    </w:p>
    <w:p>
      <w:pPr>
        <w:pStyle w:val="12"/>
        <w:jc w:val="center"/>
        <w:rPr>
          <w:rFonts w:ascii="Times New Roman" w:hAnsi="Times New Roman" w:cs="Times New Roman"/>
          <w:sz w:val="56"/>
          <w:szCs w:val="56"/>
        </w:rPr>
      </w:pPr>
    </w:p>
    <w:p>
      <w:pPr>
        <w:pStyle w:val="12"/>
        <w:jc w:val="center"/>
        <w:rPr>
          <w:rFonts w:ascii="Times New Roman" w:hAnsi="Times New Roman" w:cs="Times New Roman"/>
          <w:sz w:val="84"/>
          <w:szCs w:val="84"/>
        </w:rPr>
      </w:pPr>
    </w:p>
    <w:p>
      <w:pPr>
        <w:pStyle w:val="12"/>
        <w:jc w:val="center"/>
        <w:rPr>
          <w:rFonts w:ascii="Times New Roman" w:hAnsi="Times New Roman" w:cs="Times New Roman"/>
          <w:sz w:val="84"/>
          <w:szCs w:val="84"/>
        </w:rPr>
      </w:pPr>
    </w:p>
    <w:p>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pPr>
        <w:pStyle w:val="12"/>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rPr>
        <w:t>怀化市公安局交通警察支队</w:t>
      </w:r>
      <w:r>
        <w:rPr>
          <w:rFonts w:ascii="Times New Roman" w:hAnsi="Times New Roman" w:eastAsia="方正小标宋简体" w:cs="Times New Roman"/>
          <w:sz w:val="72"/>
          <w:szCs w:val="72"/>
        </w:rPr>
        <w:t>部门决算</w:t>
      </w:r>
    </w:p>
    <w:p>
      <w:pPr>
        <w:pStyle w:val="12"/>
        <w:jc w:val="center"/>
        <w:rPr>
          <w:rFonts w:ascii="Times New Roman" w:hAnsi="Times New Roman" w:eastAsia="方正小标宋_GBK" w:cs="Times New Roman"/>
          <w:sz w:val="56"/>
          <w:szCs w:val="56"/>
        </w:rPr>
      </w:pPr>
    </w:p>
    <w:p>
      <w:pPr>
        <w:pStyle w:val="12"/>
        <w:jc w:val="center"/>
        <w:rPr>
          <w:rFonts w:ascii="Times New Roman" w:hAnsi="Times New Roman" w:cs="Times New Roman"/>
          <w:sz w:val="56"/>
          <w:szCs w:val="56"/>
        </w:rPr>
      </w:pPr>
    </w:p>
    <w:p>
      <w:pPr>
        <w:pStyle w:val="12"/>
        <w:rPr>
          <w:rFonts w:ascii="Times New Roman" w:hAnsi="Times New Roman" w:cs="Times New Roman"/>
          <w:sz w:val="56"/>
          <w:szCs w:val="56"/>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spacing w:line="540" w:lineRule="exact"/>
        <w:jc w:val="center"/>
        <w:rPr>
          <w:rFonts w:ascii="Times New Roman" w:hAnsi="Times New Roman" w:cs="Times New Roman"/>
          <w:sz w:val="56"/>
          <w:szCs w:val="56"/>
        </w:rPr>
      </w:pPr>
    </w:p>
    <w:p>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pPr>
        <w:pStyle w:val="12"/>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pPr>
        <w:pStyle w:val="12"/>
        <w:spacing w:line="600" w:lineRule="exact"/>
        <w:jc w:val="both"/>
        <w:rPr>
          <w:rFonts w:ascii="Times New Roman" w:hAnsi="Times New Roman" w:cs="Times New Roman"/>
          <w:b/>
          <w:sz w:val="36"/>
          <w:szCs w:val="28"/>
        </w:rPr>
      </w:pPr>
    </w:p>
    <w:p>
      <w:pPr>
        <w:pStyle w:val="12"/>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pPr>
        <w:pStyle w:val="12"/>
        <w:spacing w:line="600" w:lineRule="exact"/>
        <w:jc w:val="center"/>
        <w:rPr>
          <w:rFonts w:ascii="Times New Roman" w:hAnsi="Times New Roman" w:cs="Times New Roman"/>
          <w:b/>
          <w:sz w:val="36"/>
          <w:szCs w:val="28"/>
        </w:rPr>
      </w:pPr>
    </w:p>
    <w:p>
      <w:pPr>
        <w:pStyle w:val="12"/>
        <w:spacing w:afterLines="50" w:line="600" w:lineRule="exact"/>
        <w:rPr>
          <w:rFonts w:ascii="Times New Roman" w:hAnsi="Times New Roman" w:cs="Times New Roman"/>
          <w:bCs/>
          <w:sz w:val="32"/>
          <w:szCs w:val="32"/>
        </w:rPr>
      </w:pPr>
      <w:r>
        <w:rPr>
          <w:rFonts w:ascii="Times New Roman" w:hAnsi="Times New Roman" w:cs="Times New Roman"/>
          <w:bCs/>
          <w:sz w:val="32"/>
          <w:szCs w:val="32"/>
        </w:rPr>
        <w:t>第一部分</w:t>
      </w:r>
      <w:r>
        <w:rPr>
          <w:rFonts w:hint="eastAsia" w:ascii="Times New Roman" w:hAnsi="Times New Roman" w:cs="Times New Roman"/>
          <w:bCs/>
          <w:sz w:val="32"/>
          <w:szCs w:val="32"/>
        </w:rPr>
        <w:t>怀化市公安局交通警察支队</w:t>
      </w:r>
      <w:r>
        <w:rPr>
          <w:rFonts w:ascii="Times New Roman" w:hAnsi="Times New Roman" w:cs="Times New Roman"/>
          <w:bCs/>
          <w:sz w:val="32"/>
          <w:szCs w:val="32"/>
        </w:rPr>
        <w:t>概况</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pPr>
        <w:autoSpaceDE w:val="0"/>
        <w:autoSpaceDN w:val="0"/>
        <w:adjustRightInd w:val="0"/>
        <w:spacing w:line="600" w:lineRule="exact"/>
        <w:jc w:val="left"/>
      </w:pPr>
      <w:r>
        <w:rPr>
          <w:rFonts w:ascii="Times New Roman" w:hAnsi="Times New Roman" w:eastAsia="仿宋_GB2312" w:cs="Times New Roman"/>
          <w:color w:val="000000"/>
          <w:kern w:val="0"/>
          <w:sz w:val="32"/>
          <w:szCs w:val="32"/>
        </w:rPr>
        <w:t>八、政府性基金预算收入支出决算情况</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九、国有资本经营预算</w:t>
      </w:r>
      <w:r>
        <w:rPr>
          <w:rFonts w:hint="eastAsia" w:ascii="Times New Roman" w:hAnsi="Times New Roman" w:eastAsia="仿宋_GB2312" w:cs="Times New Roman"/>
          <w:color w:val="000000"/>
          <w:kern w:val="0"/>
          <w:sz w:val="32"/>
          <w:szCs w:val="32"/>
          <w:lang w:eastAsia="zh-CN"/>
        </w:rPr>
        <w:t>收入</w:t>
      </w:r>
      <w:r>
        <w:rPr>
          <w:rFonts w:ascii="Times New Roman" w:hAnsi="Times New Roman" w:eastAsia="仿宋_GB2312" w:cs="Times New Roman"/>
          <w:color w:val="000000"/>
          <w:kern w:val="0"/>
          <w:sz w:val="32"/>
          <w:szCs w:val="32"/>
        </w:rPr>
        <w:t>支出决算情况</w:t>
      </w:r>
    </w:p>
    <w:p>
      <w:pPr>
        <w:autoSpaceDE w:val="0"/>
        <w:autoSpaceDN w:val="0"/>
        <w:adjustRightInd w:val="0"/>
        <w:spacing w:line="600" w:lineRule="exact"/>
        <w:jc w:val="left"/>
      </w:pPr>
      <w:r>
        <w:rPr>
          <w:rFonts w:ascii="Times New Roman" w:hAnsi="Times New Roman" w:eastAsia="仿宋_GB2312" w:cs="Times New Roman"/>
          <w:color w:val="000000"/>
          <w:kern w:val="0"/>
          <w:sz w:val="32"/>
          <w:szCs w:val="32"/>
        </w:rPr>
        <w:t>十、关于机关运行经费支出说明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十一、一般性支出情况说明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ascii="Times New Roman" w:hAnsi="Times New Roman" w:eastAsia="仿宋_GB2312" w:cs="Times New Roman"/>
          <w:sz w:val="32"/>
          <w:szCs w:val="32"/>
        </w:rPr>
        <w:t>二</w:t>
      </w:r>
      <w:r>
        <w:rPr>
          <w:rFonts w:ascii="Times New Roman" w:hAnsi="Times New Roman" w:eastAsia="仿宋_GB2312" w:cs="Times New Roman"/>
          <w:color w:val="000000"/>
          <w:kern w:val="0"/>
          <w:sz w:val="32"/>
          <w:szCs w:val="32"/>
        </w:rPr>
        <w:t>、关于政府采购支出说明</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十三、关于国有资产占用情况说明</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、关于2024年度预算绩效管理情况的说明</w:t>
      </w:r>
    </w:p>
    <w:p>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pPr>
        <w:pStyle w:val="12"/>
        <w:spacing w:line="600" w:lineRule="exact"/>
        <w:rPr>
          <w:rFonts w:ascii="Times New Roman" w:hAnsi="Times New Roman" w:cs="Times New Roman"/>
          <w:bCs/>
          <w:sz w:val="28"/>
          <w:szCs w:val="28"/>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sz w:val="72"/>
          <w:szCs w:val="72"/>
        </w:rPr>
      </w:pPr>
    </w:p>
    <w:p>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pStyle w:val="12"/>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怀化市公安局交通警察支队</w:t>
      </w:r>
      <w:r>
        <w:rPr>
          <w:rFonts w:ascii="Times New Roman" w:hAnsi="Times New Roman" w:eastAsia="方正小标宋_GBK" w:cs="Times New Roman"/>
          <w:sz w:val="52"/>
          <w:szCs w:val="52"/>
        </w:rPr>
        <w:t>概况</w:t>
      </w:r>
    </w:p>
    <w:p>
      <w:pPr>
        <w:pStyle w:val="3"/>
        <w:ind w:left="0" w:leftChars="0" w:firstLine="0" w:firstLineChars="0"/>
        <w:rPr>
          <w:rFonts w:ascii="Times New Roman" w:hAnsi="Times New Roman" w:cs="Times New Roman"/>
        </w:rPr>
      </w:pPr>
    </w:p>
    <w:p>
      <w:pPr>
        <w:pStyle w:val="13"/>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pPr>
        <w:numPr>
          <w:ilvl w:val="0"/>
          <w:numId w:val="1"/>
        </w:num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怀化市公安局交通警察支队（以下简称市交警支队）是行政单位。</w:t>
      </w:r>
    </w:p>
    <w:p>
      <w:pPr>
        <w:spacing w:line="600" w:lineRule="exact"/>
        <w:ind w:firstLine="800" w:firstLineChars="25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主要工作职责：贯彻执行国家有关道路交通安全、管理的法律、法规和政策；研究拟订全市道路交通安全管理的发展战略和政策性措施。组织开展公安交警思想政治工作和队伍建设，制定并落实民警教育培训制度；协助县（市、区）公安局党委管理交警大队的领导班子；组织开展公安交警工作宣传报道和交通安全宣传教育活动。落实公安机关党风廉政建设相关要求，配合有关部门查处民警违法违纪案件；组织实施交警队伍警务督察工作。承担支队交通管理经费的核算和管理工作；承担支队预算收入和罚没款物的稽查和审核；承担支队国有资产的监督管理工作。组织、监督开展公安交通管理的执法工作。组织实施全市道路交通事故的预防和处理工作；指导并落实基层交通安全组织建设。承担全市机动车辆安全检测、牌证发生工作；承担全市机动车考验员证、检验员证、教练员证的申请、受理、审核、上报和管理工作；承担全市机动车辆和非机动车辆的道路交通管理工作；按职责权限对机动车改装、改型、修理厂家实施安全技术监督；指导并监督全市机动车驾驶员培训单位的工作；依法对全市农机部门牌证发生工作实行管理和监督。承担全市机动车驾驶员的考试、发证等管理工作。组织实施全市道路交通管理科学技术的规划、研究及成果推广应用工作。参与研究城市建设、道路交通和安全设施的规划；承担怀化城区道路交通安全设施建设；参与道路交通安全设施的监督、管理，依法打击破坏道路交通安全设施等违法犯罪活动；承担对涉及交通安全、交通秩序的停车场（库）、车辆停靠点的规范建设和挖掘、占用道路审批管理工作。依法实施道路交通安全违法行为的处罚工作。组织实施全市客运车辆及重点车辆的户籍化管理工作。承担怀化城区的道路交通安全和秩序管理工作；配合有关部门实施重大交通警（保）卫工作；组织开展公路巡逻执法活动和处置重大突发性事件；协同其他警种维护道路治安秩序，打击车匪路霸。按照有关规定，负责或协助管理全市高速公路的交通秩序、治安秩序和交通安全工作。承办市人民政府和市公安局交办的其他事项。</w:t>
      </w:r>
    </w:p>
    <w:p>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rPr>
        <w:t>怀化市公安局交通警察支队</w:t>
      </w:r>
      <w:r>
        <w:rPr>
          <w:rFonts w:ascii="Times New Roman" w:hAnsi="Times New Roman" w:eastAsia="仿宋_GB2312" w:cs="Times New Roman"/>
          <w:bCs/>
          <w:kern w:val="0"/>
          <w:sz w:val="32"/>
          <w:szCs w:val="32"/>
        </w:rPr>
        <w:t>内设机构包括：</w:t>
      </w:r>
      <w:r>
        <w:rPr>
          <w:rFonts w:hint="eastAsia" w:ascii="Times New Roman" w:hAnsi="Times New Roman" w:eastAsia="仿宋_GB2312" w:cs="Times New Roman"/>
          <w:bCs/>
          <w:kern w:val="0"/>
          <w:sz w:val="32"/>
          <w:szCs w:val="32"/>
        </w:rPr>
        <w:t>办公室、交通管理指挥中心、政工科、宣传教育科、警务保障科、法制科、交通安全管理科、车辆管理所、驾驶人考试管理所、交通科技管理科、交通设施管理科、道路交通安全违法处罚科、重点车辆监管所、工会、事故社会救助基金管理、事故处理大队、二大队、特勤大队，监察室单设，下设3个直属机构，直属一大队、直属三大队、直属四大队。</w:t>
      </w:r>
    </w:p>
    <w:p>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rPr>
        <w:t>怀化市公安局交通警察支队</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Times New Roman"/>
          <w:bCs/>
          <w:kern w:val="0"/>
          <w:sz w:val="32"/>
          <w:szCs w:val="32"/>
        </w:rPr>
        <w:t>怀化市公安局交通警察支队</w:t>
      </w:r>
      <w:r>
        <w:rPr>
          <w:rFonts w:ascii="Times New Roman" w:hAnsi="Times New Roman" w:eastAsia="仿宋_GB2312" w:cs="Times New Roman"/>
          <w:bCs/>
          <w:kern w:val="0"/>
          <w:sz w:val="32"/>
          <w:szCs w:val="32"/>
        </w:rPr>
        <w:t>本级</w:t>
      </w:r>
      <w:r>
        <w:rPr>
          <w:rFonts w:hint="eastAsia" w:ascii="Times New Roman" w:hAnsi="Times New Roman" w:eastAsia="仿宋_GB2312" w:cs="Times New Roman"/>
          <w:bCs/>
          <w:kern w:val="0"/>
          <w:sz w:val="32"/>
          <w:szCs w:val="32"/>
        </w:rPr>
        <w:t>。</w:t>
      </w:r>
    </w:p>
    <w:p>
      <w:pPr>
        <w:jc w:val="left"/>
        <w:rPr>
          <w:rFonts w:ascii="Times New Roman" w:hAnsi="Times New Roman" w:eastAsia="仿宋_GB2312" w:cs="Times New Roman"/>
          <w:sz w:val="28"/>
          <w:szCs w:val="32"/>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pStyle w:val="2"/>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pPr>
        <w:pStyle w:val="12"/>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w:t>
      </w:r>
      <w:r>
        <w:rPr>
          <w:rFonts w:hint="eastAsia" w:ascii="Times New Roman" w:hAnsi="Times New Roman" w:eastAsia="方正小标宋_GBK" w:cs="Times New Roman"/>
          <w:bCs/>
          <w:sz w:val="52"/>
          <w:szCs w:val="52"/>
        </w:rPr>
        <w:t>怀化市公安局交通警察支队</w:t>
      </w:r>
      <w:r>
        <w:rPr>
          <w:rFonts w:ascii="Times New Roman" w:hAnsi="Times New Roman" w:eastAsia="方正小标宋_GBK" w:cs="Times New Roman"/>
          <w:sz w:val="52"/>
          <w:szCs w:val="52"/>
        </w:rPr>
        <w:t>决算表</w:t>
      </w:r>
    </w:p>
    <w:p>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bCs/>
          <w:color w:val="000000"/>
          <w:kern w:val="0"/>
          <w:sz w:val="20"/>
          <w:szCs w:val="20"/>
        </w:rPr>
        <w:t>怀化市公安局交通警察支队</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8"/>
        <w:tblW w:w="14896" w:type="dxa"/>
        <w:jc w:val="center"/>
        <w:tblInd w:w="0" w:type="dxa"/>
        <w:tblLayout w:type="fixed"/>
        <w:tblCellMar>
          <w:top w:w="0" w:type="dxa"/>
          <w:left w:w="108" w:type="dxa"/>
          <w:bottom w:w="0" w:type="dxa"/>
          <w:right w:w="108" w:type="dxa"/>
        </w:tblCellMar>
      </w:tblPr>
      <w:tblGrid>
        <w:gridCol w:w="5628"/>
        <w:gridCol w:w="830"/>
        <w:gridCol w:w="1403"/>
        <w:gridCol w:w="4738"/>
        <w:gridCol w:w="830"/>
        <w:gridCol w:w="1467"/>
      </w:tblGrid>
      <w:tr>
        <w:tblPrEx>
          <w:tblLayout w:type="fixed"/>
          <w:tblCellMar>
            <w:top w:w="0" w:type="dxa"/>
            <w:left w:w="108" w:type="dxa"/>
            <w:bottom w:w="0" w:type="dxa"/>
            <w:right w:w="108" w:type="dxa"/>
          </w:tblCellMar>
        </w:tblPrEx>
        <w:trPr>
          <w:trHeight w:val="340" w:hRule="exact"/>
          <w:jc w:val="center"/>
        </w:trPr>
        <w:tc>
          <w:tcPr>
            <w:tcW w:w="786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703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14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4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14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Times New Roman" w:hAnsi="Times New Roman" w:eastAsia="仿宋_GB2312" w:cs="Times New Roman"/>
                <w:color w:val="000000"/>
                <w:sz w:val="24"/>
                <w:szCs w:val="24"/>
              </w:rPr>
            </w:pPr>
          </w:p>
        </w:tc>
        <w:tc>
          <w:tcPr>
            <w:tcW w:w="14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4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Times New Roman" w:hAnsi="Times New Roman" w:eastAsia="仿宋_GB2312" w:cs="Times New Roman"/>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12556.08</w:t>
            </w:r>
          </w:p>
        </w:tc>
        <w:tc>
          <w:tcPr>
            <w:tcW w:w="4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一、一般公共服务支出</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32</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7.60</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4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二、外交支出</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33</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3</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4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三、国防支出</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34</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4</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4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四、公共安全支出</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35</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11,469.83</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5</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4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五、教育支出</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36</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6</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4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六、科学技术支出</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37</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7</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4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七、文化旅游体育与传媒支出</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38</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8</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4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八、社会保障和就业支出</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39</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474.81</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9</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九、卫生健康支出</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40</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185.46</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10</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十、节能环保支出</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41</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0"/>
                <w:szCs w:val="20"/>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11</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十一、城乡社区支出</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42</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0"/>
                <w:szCs w:val="20"/>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12</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十二、农林水支出</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43</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0"/>
                <w:szCs w:val="20"/>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13</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十三、交通运输支出</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44</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96.00</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0"/>
                <w:szCs w:val="20"/>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14</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十四、资源勘探工业信息等支出</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45</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0"/>
                <w:szCs w:val="20"/>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15</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十五、商业服务业等支出</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46</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0"/>
                <w:szCs w:val="20"/>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16</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十六、金融支出</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47</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0"/>
                <w:szCs w:val="20"/>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17</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十七、援助其他地区支出</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48</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0"/>
                <w:szCs w:val="20"/>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18</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十八、自然资源海洋气象等支出</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49</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0"/>
                <w:szCs w:val="20"/>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19</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十九、住房保障支出</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50</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322.38</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0"/>
                <w:szCs w:val="20"/>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二十、粮油物资储备支出</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51</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0"/>
                <w:szCs w:val="20"/>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21</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二十一、国有资本经营预算支出</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52</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0"/>
                <w:szCs w:val="20"/>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22</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二十二、灾害防治及应急管理支出</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53</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b/>
                <w:color w:val="000000"/>
                <w:kern w:val="0"/>
                <w:sz w:val="22"/>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23</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二十三、其他支出</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54</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b/>
                <w:color w:val="000000"/>
                <w:kern w:val="0"/>
                <w:sz w:val="22"/>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24</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二十四、债务还本支出</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55</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b/>
                <w:color w:val="000000"/>
                <w:kern w:val="0"/>
                <w:sz w:val="22"/>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25</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二十五、债务付息支出</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56</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b/>
                <w:color w:val="000000"/>
                <w:kern w:val="0"/>
                <w:sz w:val="22"/>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26</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二十六、抗疫特别国债安排的支出</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57</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27</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12556.08</w:t>
            </w:r>
          </w:p>
        </w:tc>
        <w:tc>
          <w:tcPr>
            <w:tcW w:w="4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58</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12556.08</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使用非财政拨款结余（含专用结余）</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28</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4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结余分配</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59</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年初结转和结余</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29</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4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年末结转和结余</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60</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r>
      <w:tr>
        <w:tblPrEx>
          <w:tblLayout w:type="fixed"/>
          <w:tblCellMar>
            <w:top w:w="0" w:type="dxa"/>
            <w:left w:w="108" w:type="dxa"/>
            <w:bottom w:w="0" w:type="dxa"/>
            <w:right w:w="108" w:type="dxa"/>
          </w:tblCellMar>
        </w:tblPrEx>
        <w:trPr>
          <w:trHeight w:val="340" w:hRule="exact"/>
          <w:jc w:val="center"/>
        </w:trPr>
        <w:tc>
          <w:tcPr>
            <w:tcW w:w="56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30</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12556.08</w:t>
            </w:r>
          </w:p>
        </w:tc>
        <w:tc>
          <w:tcPr>
            <w:tcW w:w="4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61</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b/>
                <w:color w:val="000000"/>
                <w:sz w:val="22"/>
              </w:rPr>
            </w:pPr>
            <w:r>
              <w:rPr>
                <w:rFonts w:ascii="Times New Roman" w:hAnsi="Times New Roman" w:eastAsia="仿宋_GB2312" w:cs="Times New Roman"/>
                <w:color w:val="000000"/>
                <w:sz w:val="22"/>
              </w:rPr>
              <w:t>12556.08</w:t>
            </w:r>
          </w:p>
        </w:tc>
      </w:tr>
    </w:tbl>
    <w:p>
      <w:pPr>
        <w:widowControl/>
        <w:jc w:val="left"/>
        <w:textAlignment w:val="center"/>
        <w:rPr>
          <w:rFonts w:ascii="Times New Roman" w:hAnsi="Times New Roman" w:eastAsia="宋体" w:cs="Times New Roman"/>
          <w:color w:val="000000"/>
          <w:kern w:val="0"/>
          <w:sz w:val="24"/>
          <w:szCs w:val="24"/>
        </w:rPr>
      </w:pPr>
    </w:p>
    <w:p>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公开02表</w:t>
      </w:r>
    </w:p>
    <w:p>
      <w:pPr>
        <w:tabs>
          <w:tab w:val="left" w:pos="630"/>
          <w:tab w:val="left" w:pos="2100"/>
          <w:tab w:val="right" w:pos="14004"/>
        </w:tabs>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bCs/>
          <w:color w:val="000000"/>
          <w:kern w:val="0"/>
          <w:sz w:val="20"/>
          <w:szCs w:val="20"/>
        </w:rPr>
        <w:t>怀化市公安局交通警察支队</w:t>
      </w:r>
      <w:r>
        <w:rPr>
          <w:rFonts w:ascii="Times New Roman" w:hAnsi="Times New Roman" w:eastAsia="仿宋_GB2312" w:cs="Times New Roman"/>
          <w:bCs/>
          <w:color w:val="000000"/>
          <w:kern w:val="0"/>
          <w:sz w:val="20"/>
          <w:szCs w:val="20"/>
        </w:rPr>
        <w:tab/>
      </w:r>
      <w:r>
        <w:rPr>
          <w:rFonts w:ascii="Times New Roman" w:hAnsi="Times New Roman" w:eastAsia="仿宋_GB2312" w:cs="Times New Roman"/>
          <w:color w:val="000000"/>
          <w:sz w:val="20"/>
          <w:szCs w:val="20"/>
        </w:rPr>
        <w:t>单位：万元</w:t>
      </w:r>
    </w:p>
    <w:tbl>
      <w:tblPr>
        <w:tblStyle w:val="8"/>
        <w:tblW w:w="14666" w:type="dxa"/>
        <w:jc w:val="center"/>
        <w:tblInd w:w="0" w:type="dxa"/>
        <w:tblLayout w:type="fixed"/>
        <w:tblCellMar>
          <w:top w:w="0" w:type="dxa"/>
          <w:left w:w="0" w:type="dxa"/>
          <w:bottom w:w="0" w:type="dxa"/>
          <w:right w:w="0" w:type="dxa"/>
        </w:tblCellMar>
      </w:tblPr>
      <w:tblGrid>
        <w:gridCol w:w="1040"/>
        <w:gridCol w:w="2146"/>
        <w:gridCol w:w="1640"/>
        <w:gridCol w:w="1640"/>
        <w:gridCol w:w="1640"/>
        <w:gridCol w:w="1640"/>
        <w:gridCol w:w="1640"/>
        <w:gridCol w:w="1897"/>
        <w:gridCol w:w="1383"/>
      </w:tblGrid>
      <w:tr>
        <w:tblPrEx>
          <w:tblLayout w:type="fixed"/>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tblPrEx>
          <w:tblLayout w:type="fixed"/>
          <w:tblCellMar>
            <w:top w:w="0" w:type="dxa"/>
            <w:left w:w="0" w:type="dxa"/>
            <w:bottom w:w="0" w:type="dxa"/>
            <w:right w:w="0" w:type="dxa"/>
          </w:tblCellMar>
        </w:tblPrEx>
        <w:trPr>
          <w:trHeight w:val="334" w:hRule="exact"/>
          <w:jc w:val="center"/>
        </w:trPr>
        <w:tc>
          <w:tcPr>
            <w:tcW w:w="10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2146"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blPrEx>
          <w:tblLayout w:type="fixed"/>
          <w:tblCellMar>
            <w:top w:w="0" w:type="dxa"/>
            <w:left w:w="0" w:type="dxa"/>
            <w:bottom w:w="0" w:type="dxa"/>
            <w:right w:w="0" w:type="dxa"/>
          </w:tblCellMar>
        </w:tblPrEx>
        <w:trPr>
          <w:trHeight w:val="312" w:hRule="atLeast"/>
          <w:jc w:val="center"/>
        </w:trPr>
        <w:tc>
          <w:tcPr>
            <w:tcW w:w="10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2146" w:type="dxa"/>
            <w:vMerge w:val="continue"/>
            <w:tcBorders>
              <w:top w:val="nil"/>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blPrEx>
          <w:tblLayout w:type="fixed"/>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tblPrEx>
          <w:tblLayout w:type="fixed"/>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12,556.08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12,556.08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0.00</w:t>
            </w:r>
          </w:p>
        </w:tc>
      </w:tr>
      <w:tr>
        <w:tblPrEx>
          <w:tblLayout w:type="fixed"/>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201</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一般公共服务支出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7.60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7.60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20103</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政府办公厅（室）及相关机构事务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2010302</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一般行政管理事务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20199</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其他一般公共服务支出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5.60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5.60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2019999</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其他一般公共服务支出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5.60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5.60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公共安全支出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11,469.83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11,469.83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20402</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公安</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11,454.83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11,454.83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2040201</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行政运行</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6,711.93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6,711.93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2040202</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一般行政管理事务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2040220</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执法办案</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1,043.00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1,043.00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2040299</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其他公安支出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3,629.91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3,629.91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20499</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其他公共安全支出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15.00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15.00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2049999</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其他公共安全支出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15.00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15.00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208</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社会保障和就业支出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474.81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474.81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20805</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行政事业单位养老支出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474.81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474.81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2080505</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机关事业单位基本养老保险缴费支出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474.81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474.81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210</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卫生健康支出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185.46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185.46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21011</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行政事业单位医疗</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185.46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185.46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2101101</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行政单位医疗</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185.46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185.46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214</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交通运输支出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21499</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其他交通运输支出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2149999</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其他交通运输支出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221</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住房保障支出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322.38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322.38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22102</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住房改革支出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322.38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322.38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2210201</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住房公积金</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322.38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322.38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bl>
    <w:p>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bCs/>
          <w:color w:val="000000"/>
          <w:kern w:val="0"/>
          <w:sz w:val="20"/>
          <w:szCs w:val="20"/>
        </w:rPr>
        <w:t>怀化市公安局交通警察支队</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8"/>
        <w:tblW w:w="14212" w:type="dxa"/>
        <w:jc w:val="center"/>
        <w:tblInd w:w="0" w:type="dxa"/>
        <w:tblLayout w:type="fixed"/>
        <w:tblCellMar>
          <w:top w:w="0" w:type="dxa"/>
          <w:left w:w="108" w:type="dxa"/>
          <w:bottom w:w="0" w:type="dxa"/>
          <w:right w:w="108" w:type="dxa"/>
        </w:tblCellMar>
      </w:tblPr>
      <w:tblGrid>
        <w:gridCol w:w="1035"/>
        <w:gridCol w:w="3957"/>
        <w:gridCol w:w="1671"/>
        <w:gridCol w:w="1128"/>
        <w:gridCol w:w="1128"/>
        <w:gridCol w:w="1671"/>
        <w:gridCol w:w="1128"/>
        <w:gridCol w:w="2494"/>
      </w:tblGrid>
      <w:tr>
        <w:tblPrEx>
          <w:tblLayout w:type="fixed"/>
          <w:tblCellMar>
            <w:top w:w="0" w:type="dxa"/>
            <w:left w:w="108" w:type="dxa"/>
            <w:bottom w:w="0" w:type="dxa"/>
            <w:right w:w="108" w:type="dxa"/>
          </w:tblCellMar>
        </w:tblPrEx>
        <w:trPr>
          <w:trHeight w:val="595" w:hRule="atLeast"/>
          <w:jc w:val="center"/>
        </w:trPr>
        <w:tc>
          <w:tcPr>
            <w:tcW w:w="4992"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167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112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112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167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112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249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tblPrEx>
          <w:tblLayout w:type="fixed"/>
          <w:tblCellMar>
            <w:top w:w="0" w:type="dxa"/>
            <w:left w:w="108" w:type="dxa"/>
            <w:bottom w:w="0" w:type="dxa"/>
            <w:right w:w="108" w:type="dxa"/>
          </w:tblCellMar>
        </w:tblPrEx>
        <w:trPr>
          <w:trHeight w:val="312" w:hRule="exact"/>
          <w:jc w:val="center"/>
        </w:trPr>
        <w:tc>
          <w:tcPr>
            <w:tcW w:w="103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3957"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167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11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11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167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11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249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r>
      <w:tr>
        <w:tblPrEx>
          <w:tblLayout w:type="fixed"/>
          <w:tblCellMar>
            <w:top w:w="0" w:type="dxa"/>
            <w:left w:w="108" w:type="dxa"/>
            <w:bottom w:w="0" w:type="dxa"/>
            <w:right w:w="108" w:type="dxa"/>
          </w:tblCellMar>
        </w:tblPrEx>
        <w:trPr>
          <w:trHeight w:val="595" w:hRule="atLeast"/>
          <w:jc w:val="center"/>
        </w:trPr>
        <w:tc>
          <w:tcPr>
            <w:tcW w:w="10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395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67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1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1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67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1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249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454" w:hRule="atLeast"/>
          <w:jc w:val="center"/>
        </w:trPr>
        <w:tc>
          <w:tcPr>
            <w:tcW w:w="499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1671"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1128"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128"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671"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128"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2494"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tblPrEx>
          <w:tblLayout w:type="fixed"/>
          <w:tblCellMar>
            <w:top w:w="0" w:type="dxa"/>
            <w:left w:w="108" w:type="dxa"/>
            <w:bottom w:w="0" w:type="dxa"/>
            <w:right w:w="108" w:type="dxa"/>
          </w:tblCellMar>
        </w:tblPrEx>
        <w:trPr>
          <w:trHeight w:val="454" w:hRule="atLeast"/>
          <w:jc w:val="center"/>
        </w:trPr>
        <w:tc>
          <w:tcPr>
            <w:tcW w:w="499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12,556.08</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7,694.57</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4,861.51</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0.00</w:t>
            </w:r>
          </w:p>
        </w:tc>
        <w:tc>
          <w:tcPr>
            <w:tcW w:w="2494"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0.00</w:t>
            </w:r>
          </w:p>
        </w:tc>
      </w:tr>
      <w:tr>
        <w:tblPrEx>
          <w:tblLayout w:type="fixed"/>
          <w:tblCellMar>
            <w:top w:w="0" w:type="dxa"/>
            <w:left w:w="108" w:type="dxa"/>
            <w:bottom w:w="0" w:type="dxa"/>
            <w:right w:w="108" w:type="dxa"/>
          </w:tblCellMar>
        </w:tblPrEx>
        <w:trPr>
          <w:trHeight w:val="454" w:hRule="atLeast"/>
          <w:jc w:val="center"/>
        </w:trPr>
        <w:tc>
          <w:tcPr>
            <w:tcW w:w="10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201</w:t>
            </w:r>
          </w:p>
        </w:tc>
        <w:tc>
          <w:tcPr>
            <w:tcW w:w="3957" w:type="dxa"/>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一般公共服务支出</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7.60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7.60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2494"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454" w:hRule="atLeast"/>
          <w:jc w:val="center"/>
        </w:trPr>
        <w:tc>
          <w:tcPr>
            <w:tcW w:w="10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20103</w:t>
            </w:r>
          </w:p>
        </w:tc>
        <w:tc>
          <w:tcPr>
            <w:tcW w:w="3957" w:type="dxa"/>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政府办公厅（室）及相关机构事务</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2494"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454" w:hRule="atLeast"/>
          <w:jc w:val="center"/>
        </w:trPr>
        <w:tc>
          <w:tcPr>
            <w:tcW w:w="10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2010302</w:t>
            </w:r>
          </w:p>
        </w:tc>
        <w:tc>
          <w:tcPr>
            <w:tcW w:w="3957" w:type="dxa"/>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一般行政管理事务</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2494"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454" w:hRule="atLeast"/>
          <w:jc w:val="center"/>
        </w:trPr>
        <w:tc>
          <w:tcPr>
            <w:tcW w:w="10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20199</w:t>
            </w:r>
          </w:p>
        </w:tc>
        <w:tc>
          <w:tcPr>
            <w:tcW w:w="3957" w:type="dxa"/>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其他一般公共服务支出</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5.60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5.60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2494"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454" w:hRule="atLeast"/>
          <w:jc w:val="center"/>
        </w:trPr>
        <w:tc>
          <w:tcPr>
            <w:tcW w:w="10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2019999</w:t>
            </w:r>
          </w:p>
        </w:tc>
        <w:tc>
          <w:tcPr>
            <w:tcW w:w="3957" w:type="dxa"/>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其他一般公共服务支出</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5.60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5.60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2494"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454" w:hRule="atLeast"/>
          <w:jc w:val="center"/>
        </w:trPr>
        <w:tc>
          <w:tcPr>
            <w:tcW w:w="10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w:t>
            </w:r>
          </w:p>
        </w:tc>
        <w:tc>
          <w:tcPr>
            <w:tcW w:w="3957" w:type="dxa"/>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公共安全支出</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11,469.83</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6,711.93</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4,757.91</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2494"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454" w:hRule="atLeast"/>
          <w:jc w:val="center"/>
        </w:trPr>
        <w:tc>
          <w:tcPr>
            <w:tcW w:w="10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20402</w:t>
            </w:r>
          </w:p>
        </w:tc>
        <w:tc>
          <w:tcPr>
            <w:tcW w:w="3957" w:type="dxa"/>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公安</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11,454.83</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6,711.93</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4,742.91</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2494"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454" w:hRule="atLeast"/>
          <w:jc w:val="center"/>
        </w:trPr>
        <w:tc>
          <w:tcPr>
            <w:tcW w:w="10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2040201</w:t>
            </w:r>
          </w:p>
        </w:tc>
        <w:tc>
          <w:tcPr>
            <w:tcW w:w="3957" w:type="dxa"/>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行政运行</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6,711.93</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6,711.93</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2494"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454" w:hRule="atLeast"/>
          <w:jc w:val="center"/>
        </w:trPr>
        <w:tc>
          <w:tcPr>
            <w:tcW w:w="10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2040202</w:t>
            </w:r>
          </w:p>
        </w:tc>
        <w:tc>
          <w:tcPr>
            <w:tcW w:w="3957" w:type="dxa"/>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一般行政管理事务</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70.00</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2494"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454" w:hRule="atLeast"/>
          <w:jc w:val="center"/>
        </w:trPr>
        <w:tc>
          <w:tcPr>
            <w:tcW w:w="10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2040220</w:t>
            </w:r>
          </w:p>
        </w:tc>
        <w:tc>
          <w:tcPr>
            <w:tcW w:w="3957" w:type="dxa"/>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执法办案</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1,043.00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1,043.00</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2494"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454" w:hRule="atLeast"/>
          <w:jc w:val="center"/>
        </w:trPr>
        <w:tc>
          <w:tcPr>
            <w:tcW w:w="10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2040299</w:t>
            </w:r>
          </w:p>
        </w:tc>
        <w:tc>
          <w:tcPr>
            <w:tcW w:w="3957" w:type="dxa"/>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其他公安支出</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3,629.91</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3,629.91</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2494"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454" w:hRule="atLeast"/>
          <w:jc w:val="center"/>
        </w:trPr>
        <w:tc>
          <w:tcPr>
            <w:tcW w:w="10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20499</w:t>
            </w:r>
          </w:p>
        </w:tc>
        <w:tc>
          <w:tcPr>
            <w:tcW w:w="3957" w:type="dxa"/>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其他公共安全支出</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15.00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15.00</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2494"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454" w:hRule="atLeast"/>
          <w:jc w:val="center"/>
        </w:trPr>
        <w:tc>
          <w:tcPr>
            <w:tcW w:w="10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2049999</w:t>
            </w:r>
          </w:p>
        </w:tc>
        <w:tc>
          <w:tcPr>
            <w:tcW w:w="3957" w:type="dxa"/>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其他公共安全支出</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15.00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15.00</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2494"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454" w:hRule="atLeast"/>
          <w:jc w:val="center"/>
        </w:trPr>
        <w:tc>
          <w:tcPr>
            <w:tcW w:w="10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208</w:t>
            </w:r>
          </w:p>
        </w:tc>
        <w:tc>
          <w:tcPr>
            <w:tcW w:w="3957" w:type="dxa"/>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社会保障和就业支出</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474.81</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474.81</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2494"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454" w:hRule="atLeast"/>
          <w:jc w:val="center"/>
        </w:trPr>
        <w:tc>
          <w:tcPr>
            <w:tcW w:w="10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20805</w:t>
            </w:r>
          </w:p>
        </w:tc>
        <w:tc>
          <w:tcPr>
            <w:tcW w:w="3957" w:type="dxa"/>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行政事业单位养老支出</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474.81</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474.81</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2494"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454" w:hRule="atLeast"/>
          <w:jc w:val="center"/>
        </w:trPr>
        <w:tc>
          <w:tcPr>
            <w:tcW w:w="10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2080505</w:t>
            </w:r>
          </w:p>
        </w:tc>
        <w:tc>
          <w:tcPr>
            <w:tcW w:w="3957" w:type="dxa"/>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机关事业单位基本养老保险缴费支出</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474.81</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474.81</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2494"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454" w:hRule="atLeast"/>
          <w:jc w:val="center"/>
        </w:trPr>
        <w:tc>
          <w:tcPr>
            <w:tcW w:w="10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210</w:t>
            </w:r>
          </w:p>
        </w:tc>
        <w:tc>
          <w:tcPr>
            <w:tcW w:w="3957" w:type="dxa"/>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卫生健康支出</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185.46</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185.46</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2494"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454" w:hRule="atLeast"/>
          <w:jc w:val="center"/>
        </w:trPr>
        <w:tc>
          <w:tcPr>
            <w:tcW w:w="10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21011</w:t>
            </w:r>
          </w:p>
        </w:tc>
        <w:tc>
          <w:tcPr>
            <w:tcW w:w="3957" w:type="dxa"/>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行政事业单位医疗</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185.46</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185.46</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2494"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454" w:hRule="atLeast"/>
          <w:jc w:val="center"/>
        </w:trPr>
        <w:tc>
          <w:tcPr>
            <w:tcW w:w="10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2101101</w:t>
            </w:r>
          </w:p>
        </w:tc>
        <w:tc>
          <w:tcPr>
            <w:tcW w:w="3957" w:type="dxa"/>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行政单位医疗</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185.46</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185.46</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2494"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454" w:hRule="atLeast"/>
          <w:jc w:val="center"/>
        </w:trPr>
        <w:tc>
          <w:tcPr>
            <w:tcW w:w="10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214</w:t>
            </w:r>
          </w:p>
        </w:tc>
        <w:tc>
          <w:tcPr>
            <w:tcW w:w="3957" w:type="dxa"/>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交通运输支出</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96.00</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2494"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454" w:hRule="atLeast"/>
          <w:jc w:val="center"/>
        </w:trPr>
        <w:tc>
          <w:tcPr>
            <w:tcW w:w="10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21499</w:t>
            </w:r>
          </w:p>
        </w:tc>
        <w:tc>
          <w:tcPr>
            <w:tcW w:w="3957" w:type="dxa"/>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其他交通运输支出</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96.00</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2494"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454" w:hRule="atLeast"/>
          <w:jc w:val="center"/>
        </w:trPr>
        <w:tc>
          <w:tcPr>
            <w:tcW w:w="10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2149999</w:t>
            </w:r>
          </w:p>
        </w:tc>
        <w:tc>
          <w:tcPr>
            <w:tcW w:w="3957" w:type="dxa"/>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其他交通运输支出</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96.00</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2494"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454" w:hRule="atLeast"/>
          <w:jc w:val="center"/>
        </w:trPr>
        <w:tc>
          <w:tcPr>
            <w:tcW w:w="10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221</w:t>
            </w:r>
          </w:p>
        </w:tc>
        <w:tc>
          <w:tcPr>
            <w:tcW w:w="3957" w:type="dxa"/>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住房保障支出</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322.38</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322.38</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2494"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454" w:hRule="atLeast"/>
          <w:jc w:val="center"/>
        </w:trPr>
        <w:tc>
          <w:tcPr>
            <w:tcW w:w="10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22102</w:t>
            </w:r>
          </w:p>
        </w:tc>
        <w:tc>
          <w:tcPr>
            <w:tcW w:w="3957" w:type="dxa"/>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住房改革支出</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322.38</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322.38</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2494"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tblPrEx>
          <w:tblLayout w:type="fixed"/>
          <w:tblCellMar>
            <w:top w:w="0" w:type="dxa"/>
            <w:left w:w="108" w:type="dxa"/>
            <w:bottom w:w="0" w:type="dxa"/>
            <w:right w:w="108" w:type="dxa"/>
          </w:tblCellMar>
        </w:tblPrEx>
        <w:trPr>
          <w:trHeight w:val="454" w:hRule="atLeast"/>
          <w:jc w:val="center"/>
        </w:trPr>
        <w:tc>
          <w:tcPr>
            <w:tcW w:w="10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2210201</w:t>
            </w:r>
          </w:p>
        </w:tc>
        <w:tc>
          <w:tcPr>
            <w:tcW w:w="3957" w:type="dxa"/>
            <w:tcBorders>
              <w:top w:val="nil"/>
              <w:left w:val="nil"/>
              <w:bottom w:val="single" w:color="auto" w:sz="4" w:space="0"/>
              <w:right w:val="single" w:color="auto" w:sz="4" w:space="0"/>
            </w:tcBorders>
            <w:shd w:val="clear" w:color="000000" w:fill="FFFFFF"/>
            <w:noWrap/>
            <w:vAlign w:val="center"/>
          </w:tcPr>
          <w:p>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住房公积金</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322.38</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322.38</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71"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28"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2494"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bl>
    <w:p>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pPr>
        <w:widowControl/>
        <w:spacing w:line="400" w:lineRule="exact"/>
        <w:jc w:val="center"/>
        <w:textAlignment w:val="center"/>
        <w:rPr>
          <w:rFonts w:ascii="Times New Roman" w:hAnsi="Times New Roman" w:eastAsia="黑体" w:cs="Times New Roman"/>
          <w:color w:val="000000"/>
          <w:kern w:val="0"/>
          <w:sz w:val="32"/>
          <w:szCs w:val="32"/>
        </w:rPr>
      </w:pPr>
    </w:p>
    <w:p>
      <w:pPr>
        <w:pStyle w:val="2"/>
      </w:pPr>
    </w:p>
    <w:p>
      <w:pPr>
        <w:pStyle w:val="3"/>
        <w:ind w:firstLine="480"/>
      </w:pPr>
    </w:p>
    <w:p/>
    <w:p>
      <w:pPr>
        <w:pStyle w:val="2"/>
      </w:pPr>
    </w:p>
    <w:p>
      <w:pPr>
        <w:pStyle w:val="3"/>
        <w:ind w:firstLine="480"/>
      </w:pPr>
    </w:p>
    <w:p/>
    <w:p>
      <w:pPr>
        <w:pStyle w:val="2"/>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pPr>
        <w:widowControl/>
        <w:tabs>
          <w:tab w:val="left" w:pos="3595"/>
          <w:tab w:val="left" w:pos="4031"/>
          <w:tab w:val="left" w:pos="5109"/>
          <w:tab w:val="left" w:pos="9152"/>
          <w:tab w:val="left" w:pos="9587"/>
          <w:tab w:val="left" w:pos="11160"/>
          <w:tab w:val="left" w:pos="12554"/>
          <w:tab w:val="left" w:pos="13948"/>
        </w:tabs>
        <w:rPr>
          <w:rFonts w:ascii="Times New Roman" w:hAnsi="Times New Roman" w:eastAsia="仿宋_GB2312" w:cs="Times New Roman"/>
          <w:kern w:val="0"/>
          <w:sz w:val="24"/>
          <w:szCs w:val="24"/>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bCs/>
          <w:color w:val="000000"/>
          <w:kern w:val="0"/>
          <w:sz w:val="20"/>
          <w:szCs w:val="20"/>
        </w:rPr>
        <w:t>怀化市公安局交通警察支队</w:t>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rPr>
        <w:t xml:space="preserve">                        </w:t>
      </w:r>
      <w:r>
        <w:rPr>
          <w:rFonts w:ascii="Times New Roman" w:hAnsi="Times New Roman" w:eastAsia="仿宋_GB2312" w:cs="Times New Roman"/>
          <w:color w:val="000000"/>
          <w:kern w:val="0"/>
          <w:sz w:val="20"/>
          <w:szCs w:val="20"/>
        </w:rPr>
        <w:t>单位：万元</w:t>
      </w:r>
    </w:p>
    <w:tbl>
      <w:tblPr>
        <w:tblStyle w:val="8"/>
        <w:tblW w:w="14218" w:type="dxa"/>
        <w:jc w:val="center"/>
        <w:tblInd w:w="0" w:type="dxa"/>
        <w:tblLayout w:type="fixed"/>
        <w:tblCellMar>
          <w:top w:w="0" w:type="dxa"/>
          <w:left w:w="108" w:type="dxa"/>
          <w:bottom w:w="0" w:type="dxa"/>
          <w:right w:w="108" w:type="dxa"/>
        </w:tblCellMar>
      </w:tblPr>
      <w:tblGrid>
        <w:gridCol w:w="3516"/>
        <w:gridCol w:w="616"/>
        <w:gridCol w:w="1096"/>
        <w:gridCol w:w="3516"/>
        <w:gridCol w:w="616"/>
        <w:gridCol w:w="1096"/>
        <w:gridCol w:w="1450"/>
        <w:gridCol w:w="1128"/>
        <w:gridCol w:w="1184"/>
      </w:tblGrid>
      <w:tr>
        <w:tblPrEx>
          <w:tblLayout w:type="fixed"/>
          <w:tblCellMar>
            <w:top w:w="0" w:type="dxa"/>
            <w:left w:w="108" w:type="dxa"/>
            <w:bottom w:w="0" w:type="dxa"/>
            <w:right w:w="108" w:type="dxa"/>
          </w:tblCellMar>
        </w:tblPrEx>
        <w:trPr>
          <w:trHeight w:val="402" w:hRule="atLeast"/>
          <w:jc w:val="center"/>
        </w:trPr>
        <w:tc>
          <w:tcPr>
            <w:tcW w:w="5228"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8990" w:type="dxa"/>
            <w:gridSpan w:val="6"/>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tblPrEx>
          <w:tblLayout w:type="fixed"/>
          <w:tblCellMar>
            <w:top w:w="0" w:type="dxa"/>
            <w:left w:w="108" w:type="dxa"/>
            <w:bottom w:w="0" w:type="dxa"/>
            <w:right w:w="108" w:type="dxa"/>
          </w:tblCellMar>
        </w:tblPrEx>
        <w:trPr>
          <w:trHeight w:val="630"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09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35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09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45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12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18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09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35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09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45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12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18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12,556.08</w:t>
            </w:r>
          </w:p>
        </w:tc>
        <w:tc>
          <w:tcPr>
            <w:tcW w:w="35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33</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7.60</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7.60</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5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34</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5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35</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35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36</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11,469.83</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11,469.83</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35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37</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6</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35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38</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7</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3516" w:type="dxa"/>
            <w:tcBorders>
              <w:top w:val="nil"/>
              <w:left w:val="nil"/>
              <w:bottom w:val="single" w:color="auto" w:sz="4" w:space="0"/>
              <w:right w:val="single" w:color="auto" w:sz="4" w:space="0"/>
            </w:tcBorders>
            <w:shd w:val="clear" w:color="auto" w:fill="auto"/>
            <w:noWrap/>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七、文化旅游体育与传媒支出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39</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8</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3516" w:type="dxa"/>
            <w:tcBorders>
              <w:top w:val="nil"/>
              <w:left w:val="nil"/>
              <w:bottom w:val="single" w:color="auto" w:sz="4" w:space="0"/>
              <w:right w:val="single" w:color="auto" w:sz="4" w:space="0"/>
            </w:tcBorders>
            <w:shd w:val="clear" w:color="auto" w:fill="auto"/>
            <w:noWrap/>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八、社会保障和就业支出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40</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474.81</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474.81</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9</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3516" w:type="dxa"/>
            <w:tcBorders>
              <w:top w:val="nil"/>
              <w:left w:val="nil"/>
              <w:bottom w:val="single" w:color="auto" w:sz="4" w:space="0"/>
              <w:right w:val="single" w:color="auto" w:sz="4" w:space="0"/>
            </w:tcBorders>
            <w:shd w:val="clear" w:color="auto" w:fill="auto"/>
            <w:noWrap/>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九、卫生健康支出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41</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185.46</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185.46</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10</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3516" w:type="dxa"/>
            <w:tcBorders>
              <w:top w:val="nil"/>
              <w:left w:val="nil"/>
              <w:bottom w:val="single" w:color="auto" w:sz="4" w:space="0"/>
              <w:right w:val="single" w:color="auto" w:sz="4" w:space="0"/>
            </w:tcBorders>
            <w:shd w:val="clear" w:color="auto" w:fill="auto"/>
            <w:noWrap/>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十、节能环保支出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42</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11</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3516" w:type="dxa"/>
            <w:tcBorders>
              <w:top w:val="nil"/>
              <w:left w:val="nil"/>
              <w:bottom w:val="single" w:color="auto" w:sz="4" w:space="0"/>
              <w:right w:val="single" w:color="auto" w:sz="4" w:space="0"/>
            </w:tcBorders>
            <w:shd w:val="clear" w:color="auto" w:fill="auto"/>
            <w:noWrap/>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十一、城乡社区支出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43</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12</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3516" w:type="dxa"/>
            <w:tcBorders>
              <w:top w:val="nil"/>
              <w:left w:val="nil"/>
              <w:bottom w:val="single" w:color="auto" w:sz="4" w:space="0"/>
              <w:right w:val="single" w:color="auto" w:sz="4" w:space="0"/>
            </w:tcBorders>
            <w:shd w:val="clear" w:color="auto" w:fill="auto"/>
            <w:noWrap/>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十二、农林水支出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44</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13</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3516" w:type="dxa"/>
            <w:tcBorders>
              <w:top w:val="nil"/>
              <w:left w:val="nil"/>
              <w:bottom w:val="single" w:color="auto" w:sz="4" w:space="0"/>
              <w:right w:val="single" w:color="auto" w:sz="4" w:space="0"/>
            </w:tcBorders>
            <w:shd w:val="clear" w:color="auto" w:fill="auto"/>
            <w:noWrap/>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十三、交通运输支出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45</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96.00</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96.00</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14</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3516" w:type="dxa"/>
            <w:tcBorders>
              <w:top w:val="nil"/>
              <w:left w:val="nil"/>
              <w:bottom w:val="single" w:color="auto" w:sz="4" w:space="0"/>
              <w:right w:val="single" w:color="auto" w:sz="4" w:space="0"/>
            </w:tcBorders>
            <w:shd w:val="clear" w:color="auto" w:fill="auto"/>
            <w:noWrap/>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十四、资源勘探工业信息等支出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46</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15</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3516" w:type="dxa"/>
            <w:tcBorders>
              <w:top w:val="nil"/>
              <w:left w:val="nil"/>
              <w:bottom w:val="single" w:color="auto" w:sz="4" w:space="0"/>
              <w:right w:val="single" w:color="auto" w:sz="4" w:space="0"/>
            </w:tcBorders>
            <w:shd w:val="clear" w:color="auto" w:fill="auto"/>
            <w:noWrap/>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十五、商业服务业等支出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16</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3516" w:type="dxa"/>
            <w:tcBorders>
              <w:top w:val="nil"/>
              <w:left w:val="nil"/>
              <w:bottom w:val="single" w:color="auto" w:sz="4" w:space="0"/>
              <w:right w:val="single" w:color="auto" w:sz="4" w:space="0"/>
            </w:tcBorders>
            <w:shd w:val="clear" w:color="auto" w:fill="auto"/>
            <w:noWrap/>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十六、金融支出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48</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17</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3516" w:type="dxa"/>
            <w:tcBorders>
              <w:top w:val="nil"/>
              <w:left w:val="nil"/>
              <w:bottom w:val="single" w:color="auto" w:sz="4" w:space="0"/>
              <w:right w:val="single" w:color="auto" w:sz="4" w:space="0"/>
            </w:tcBorders>
            <w:shd w:val="clear" w:color="auto" w:fill="auto"/>
            <w:noWrap/>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十七、援助其他地区支出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49</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18</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3516" w:type="dxa"/>
            <w:tcBorders>
              <w:top w:val="nil"/>
              <w:left w:val="nil"/>
              <w:bottom w:val="single" w:color="auto" w:sz="4" w:space="0"/>
              <w:right w:val="single" w:color="auto" w:sz="4" w:space="0"/>
            </w:tcBorders>
            <w:shd w:val="clear" w:color="auto" w:fill="auto"/>
            <w:noWrap/>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十八、自然资源海洋气象等支出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50</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19</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3516" w:type="dxa"/>
            <w:tcBorders>
              <w:top w:val="nil"/>
              <w:left w:val="nil"/>
              <w:bottom w:val="single" w:color="auto" w:sz="4" w:space="0"/>
              <w:right w:val="single" w:color="auto" w:sz="4" w:space="0"/>
            </w:tcBorders>
            <w:shd w:val="clear" w:color="auto" w:fill="auto"/>
            <w:noWrap/>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十九、住房保障支出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51</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322.38</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322.38</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3516" w:type="dxa"/>
            <w:tcBorders>
              <w:top w:val="nil"/>
              <w:left w:val="nil"/>
              <w:bottom w:val="single" w:color="auto" w:sz="4" w:space="0"/>
              <w:right w:val="single" w:color="auto" w:sz="4" w:space="0"/>
            </w:tcBorders>
            <w:shd w:val="clear" w:color="auto" w:fill="auto"/>
            <w:noWrap/>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二十、粮油物资储备支出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52</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21</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3516" w:type="dxa"/>
            <w:tcBorders>
              <w:top w:val="nil"/>
              <w:left w:val="nil"/>
              <w:bottom w:val="single" w:color="auto" w:sz="4" w:space="0"/>
              <w:right w:val="single" w:color="auto" w:sz="4" w:space="0"/>
            </w:tcBorders>
            <w:shd w:val="clear" w:color="auto" w:fill="auto"/>
            <w:noWrap/>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二十一、国有资本经营预算支出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53</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22</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3516" w:type="dxa"/>
            <w:tcBorders>
              <w:top w:val="nil"/>
              <w:left w:val="nil"/>
              <w:bottom w:val="single" w:color="auto" w:sz="4" w:space="0"/>
              <w:right w:val="single" w:color="auto" w:sz="4" w:space="0"/>
            </w:tcBorders>
            <w:shd w:val="clear" w:color="auto" w:fill="auto"/>
            <w:noWrap/>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二十二、灾害防治及应急管理支出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54</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23</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3516" w:type="dxa"/>
            <w:tcBorders>
              <w:top w:val="nil"/>
              <w:left w:val="nil"/>
              <w:bottom w:val="single" w:color="auto" w:sz="4" w:space="0"/>
              <w:right w:val="single" w:color="auto" w:sz="4" w:space="0"/>
            </w:tcBorders>
            <w:shd w:val="clear" w:color="auto" w:fill="auto"/>
            <w:noWrap/>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二十三、其他支出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55</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24</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3516" w:type="dxa"/>
            <w:tcBorders>
              <w:top w:val="nil"/>
              <w:left w:val="nil"/>
              <w:bottom w:val="single" w:color="auto" w:sz="4" w:space="0"/>
              <w:right w:val="single" w:color="auto" w:sz="4" w:space="0"/>
            </w:tcBorders>
            <w:shd w:val="clear" w:color="auto" w:fill="auto"/>
            <w:noWrap/>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二十四、债务还本支出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56</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25</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3516" w:type="dxa"/>
            <w:tcBorders>
              <w:top w:val="nil"/>
              <w:left w:val="nil"/>
              <w:bottom w:val="single" w:color="auto" w:sz="4" w:space="0"/>
              <w:right w:val="single" w:color="auto" w:sz="4" w:space="0"/>
            </w:tcBorders>
            <w:shd w:val="clear" w:color="auto" w:fill="auto"/>
            <w:noWrap/>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二十五、债务付息支出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57</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26</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3516" w:type="dxa"/>
            <w:tcBorders>
              <w:top w:val="nil"/>
              <w:left w:val="nil"/>
              <w:bottom w:val="single" w:color="auto" w:sz="4" w:space="0"/>
              <w:right w:val="single" w:color="auto" w:sz="4" w:space="0"/>
            </w:tcBorders>
            <w:shd w:val="clear" w:color="auto" w:fill="auto"/>
            <w:noWrap/>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二十六、抗疫特别国债安排的支出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58</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27</w:t>
            </w:r>
          </w:p>
        </w:tc>
        <w:tc>
          <w:tcPr>
            <w:tcW w:w="109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12,556.08</w:t>
            </w:r>
          </w:p>
        </w:tc>
        <w:tc>
          <w:tcPr>
            <w:tcW w:w="35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59</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12,556.08</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12,556.08</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28</w:t>
            </w:r>
          </w:p>
        </w:tc>
        <w:tc>
          <w:tcPr>
            <w:tcW w:w="109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5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60</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29</w:t>
            </w:r>
          </w:p>
        </w:tc>
        <w:tc>
          <w:tcPr>
            <w:tcW w:w="109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5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61</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30</w:t>
            </w:r>
          </w:p>
        </w:tc>
        <w:tc>
          <w:tcPr>
            <w:tcW w:w="109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5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62</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31</w:t>
            </w:r>
          </w:p>
        </w:tc>
        <w:tc>
          <w:tcPr>
            <w:tcW w:w="109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5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63</w:t>
            </w:r>
          </w:p>
        </w:tc>
        <w:tc>
          <w:tcPr>
            <w:tcW w:w="10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w:t>
            </w:r>
          </w:p>
        </w:tc>
        <w:tc>
          <w:tcPr>
            <w:tcW w:w="145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w:t>
            </w:r>
          </w:p>
        </w:tc>
      </w:tr>
      <w:tr>
        <w:tblPrEx>
          <w:tblLayout w:type="fixed"/>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32</w:t>
            </w:r>
          </w:p>
        </w:tc>
        <w:tc>
          <w:tcPr>
            <w:tcW w:w="109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12,556.08</w:t>
            </w:r>
          </w:p>
        </w:tc>
        <w:tc>
          <w:tcPr>
            <w:tcW w:w="3516"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64</w:t>
            </w:r>
          </w:p>
        </w:tc>
        <w:tc>
          <w:tcPr>
            <w:tcW w:w="1096" w:type="dxa"/>
            <w:tcBorders>
              <w:top w:val="nil"/>
              <w:left w:val="nil"/>
              <w:bottom w:val="single" w:color="auto" w:sz="4" w:space="0"/>
              <w:right w:val="single" w:color="auto" w:sz="4" w:space="0"/>
            </w:tcBorders>
            <w:shd w:val="clear" w:color="000000" w:fill="FFFFFF"/>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12,556.08</w:t>
            </w:r>
          </w:p>
        </w:tc>
        <w:tc>
          <w:tcPr>
            <w:tcW w:w="1450" w:type="dxa"/>
            <w:tcBorders>
              <w:top w:val="nil"/>
              <w:left w:val="nil"/>
              <w:bottom w:val="single" w:color="auto" w:sz="4" w:space="0"/>
              <w:right w:val="single" w:color="auto" w:sz="4" w:space="0"/>
            </w:tcBorders>
            <w:shd w:val="clear" w:color="000000" w:fill="FFFFFF"/>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12,556.08</w:t>
            </w:r>
          </w:p>
        </w:tc>
        <w:tc>
          <w:tcPr>
            <w:tcW w:w="112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118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bl>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pPr>
        <w:widowControl/>
        <w:jc w:val="center"/>
        <w:rPr>
          <w:rFonts w:ascii="Times New Roman" w:hAnsi="Times New Roman" w:eastAsia="方正小标宋_GBK" w:cs="Times New Roman"/>
          <w:kern w:val="0"/>
          <w:sz w:val="36"/>
          <w:szCs w:val="36"/>
        </w:rPr>
      </w:pPr>
    </w:p>
    <w:p>
      <w:pPr>
        <w:pStyle w:val="2"/>
      </w:pPr>
    </w:p>
    <w:p>
      <w:pPr>
        <w:pStyle w:val="3"/>
        <w:ind w:firstLine="480"/>
      </w:pPr>
    </w:p>
    <w:p/>
    <w:p>
      <w:pPr>
        <w:pStyle w:val="2"/>
      </w:pPr>
    </w:p>
    <w:p>
      <w:pPr>
        <w:pStyle w:val="3"/>
        <w:ind w:firstLine="480"/>
      </w:pPr>
    </w:p>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pPr>
        <w:widowControl/>
        <w:spacing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bCs/>
          <w:color w:val="000000"/>
          <w:kern w:val="0"/>
          <w:sz w:val="20"/>
          <w:szCs w:val="20"/>
        </w:rPr>
        <w:t>怀化市公安局交通警察支队</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8"/>
        <w:tblW w:w="14219" w:type="dxa"/>
        <w:jc w:val="center"/>
        <w:tblInd w:w="0" w:type="dxa"/>
        <w:tblLayout w:type="fixed"/>
        <w:tblCellMar>
          <w:top w:w="0" w:type="dxa"/>
          <w:left w:w="108" w:type="dxa"/>
          <w:bottom w:w="0" w:type="dxa"/>
          <w:right w:w="108" w:type="dxa"/>
        </w:tblCellMar>
      </w:tblPr>
      <w:tblGrid>
        <w:gridCol w:w="1200"/>
        <w:gridCol w:w="3527"/>
        <w:gridCol w:w="3000"/>
        <w:gridCol w:w="3492"/>
        <w:gridCol w:w="3000"/>
      </w:tblGrid>
      <w:tr>
        <w:tblPrEx>
          <w:tblLayout w:type="fixed"/>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Layout w:type="fixed"/>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Layout w:type="fixed"/>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Layout w:type="fixed"/>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b/>
                <w:kern w:val="0"/>
                <w:sz w:val="22"/>
              </w:rPr>
            </w:pPr>
            <w:r>
              <w:rPr>
                <w:rFonts w:hint="eastAsia" w:ascii="Times New Roman" w:hAnsi="Times New Roman" w:eastAsia="仿宋_GB2312" w:cs="Times New Roman"/>
                <w:b/>
                <w:kern w:val="0"/>
                <w:sz w:val="22"/>
              </w:rPr>
              <w:t>12,556.08</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b/>
                <w:kern w:val="0"/>
                <w:sz w:val="22"/>
              </w:rPr>
            </w:pPr>
            <w:r>
              <w:rPr>
                <w:rFonts w:hint="eastAsia" w:ascii="Times New Roman" w:hAnsi="Times New Roman" w:eastAsia="仿宋_GB2312" w:cs="Times New Roman"/>
                <w:b/>
                <w:kern w:val="0"/>
                <w:sz w:val="22"/>
              </w:rPr>
              <w:t>7,694.57</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b/>
                <w:kern w:val="0"/>
                <w:sz w:val="22"/>
              </w:rPr>
            </w:pPr>
            <w:r>
              <w:rPr>
                <w:rFonts w:hint="eastAsia" w:ascii="Times New Roman" w:hAnsi="Times New Roman" w:eastAsia="仿宋_GB2312" w:cs="Times New Roman"/>
                <w:b/>
                <w:kern w:val="0"/>
                <w:sz w:val="22"/>
              </w:rPr>
              <w:t>4,861.51</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201</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一般公共服务支出</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7.60</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7.60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20103</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2.00</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2010302</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2.00</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20199</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5.60</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5.60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2019999</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xml:space="preserve">  其他一般公共服务支出</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5.60</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5.60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204</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公共安全支出</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11,469.83</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6,711.93</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4,757.91</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20402</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公安</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11,454.83</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6,711.93</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4,742.91</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2040201</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6,711.93</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6,711.93</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2040202</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70.00</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70.00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2040220</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xml:space="preserve">  执法办案</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1,043.00</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1,043.00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2040299</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xml:space="preserve">  其他公安支出</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3,629.91</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3,629.91</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20499</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其他公共安全支出</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15.00</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15.00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2049999</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xml:space="preserve">  其他公共安全支出</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15.00</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15.00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208</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社会保障和就业支出</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474.81</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474.81</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20805</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474.81</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474.81</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2080505</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474.81</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474.81</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210</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卫生健康支出</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185.46</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185.46</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21011</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行政事业单位医疗</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185.46</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185.46</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2101101</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xml:space="preserve">  行政单位医疗</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185.46</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185.46</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214</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交通运输支出</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96.00</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96.00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21499</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其他交通运输支出</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96.00</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96.00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2149999</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xml:space="preserve">  其他交通运输支出</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96.00</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96.00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221</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住房保障支出</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322.38</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322.38</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22102</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住房改革支出</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322.38</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322.38</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tblPrEx>
          <w:tblLayout w:type="fixed"/>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2210201</w:t>
            </w:r>
          </w:p>
        </w:tc>
        <w:tc>
          <w:tcPr>
            <w:tcW w:w="3527"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xml:space="preserve">  住房公积金</w:t>
            </w:r>
          </w:p>
        </w:tc>
        <w:tc>
          <w:tcPr>
            <w:tcW w:w="3000"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322.38</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322.38</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bl>
    <w:p>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公开06表</w:t>
      </w:r>
    </w:p>
    <w:p>
      <w:pPr>
        <w:widowControl/>
        <w:tabs>
          <w:tab w:val="left" w:pos="584"/>
          <w:tab w:val="right" w:pos="14004"/>
        </w:tabs>
        <w:spacing w:line="240" w:lineRule="exact"/>
        <w:jc w:val="lef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ab/>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bCs/>
          <w:color w:val="000000"/>
          <w:kern w:val="0"/>
          <w:sz w:val="20"/>
          <w:szCs w:val="20"/>
        </w:rPr>
        <w:t>怀化市公安局交通警察支队</w:t>
      </w:r>
      <w:r>
        <w:rPr>
          <w:rFonts w:ascii="Times New Roman" w:hAnsi="Times New Roman" w:eastAsia="仿宋_GB2312" w:cs="Times New Roman"/>
          <w:color w:val="000000"/>
          <w:kern w:val="0"/>
          <w:szCs w:val="21"/>
        </w:rPr>
        <w:tab/>
      </w:r>
      <w:r>
        <w:rPr>
          <w:rFonts w:ascii="Times New Roman" w:hAnsi="Times New Roman" w:eastAsia="仿宋_GB2312" w:cs="Times New Roman"/>
          <w:color w:val="000000"/>
          <w:kern w:val="0"/>
          <w:szCs w:val="21"/>
        </w:rPr>
        <w:t>单位：万元</w:t>
      </w:r>
    </w:p>
    <w:tbl>
      <w:tblPr>
        <w:tblStyle w:val="8"/>
        <w:tblW w:w="14627" w:type="dxa"/>
        <w:jc w:val="center"/>
        <w:tblInd w:w="0" w:type="dxa"/>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tblPrEx>
          <w:tblLayout w:type="fixed"/>
          <w:tblCellMar>
            <w:top w:w="0" w:type="dxa"/>
            <w:left w:w="108" w:type="dxa"/>
            <w:bottom w:w="0" w:type="dxa"/>
            <w:right w:w="108" w:type="dxa"/>
          </w:tblCellMar>
        </w:tblPrEx>
        <w:trPr>
          <w:trHeight w:val="459"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6,730.25</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761.45</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3,594.61</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17.82</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1,010.53</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1.70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884.37</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1.01</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0.12</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1.62</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1.41</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1.01</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472.07</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14.68</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1.20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234.99</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41.38</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408.81</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3.94</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123.13</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201.86</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0.89</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15.90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2.25</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0.35</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2.10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14.22</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8.18</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322.31</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29.31</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tblPrEx>
                <w:tblLayout w:type="fixed"/>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tblPrEx>
                <w:tblLayout w:type="fixed"/>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tblPrEx>
                <w:tblLayout w:type="fixed"/>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tblPrEx>
                <w:tblLayout w:type="fixed"/>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1.81</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206.81</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tblPrEx>
          <w:tblLayout w:type="fixed"/>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185.54</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290"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91.52</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Layout w:type="fixed"/>
          <w:tblCellMar>
            <w:top w:w="0" w:type="dxa"/>
            <w:left w:w="108" w:type="dxa"/>
            <w:bottom w:w="0" w:type="dxa"/>
            <w:right w:w="108" w:type="dxa"/>
          </w:tblCellMar>
        </w:tblPrEx>
        <w:trPr>
          <w:trHeight w:val="307"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6932.11</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公用经费合计　</w:t>
            </w:r>
          </w:p>
        </w:tc>
        <w:tc>
          <w:tcPr>
            <w:tcW w:w="92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762.46</w:t>
            </w:r>
          </w:p>
        </w:tc>
      </w:tr>
    </w:tbl>
    <w:p>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pPr>
        <w:widowControl/>
        <w:spacing w:line="400" w:lineRule="exact"/>
        <w:jc w:val="center"/>
        <w:textAlignment w:val="center"/>
        <w:rPr>
          <w:rFonts w:ascii="Times New Roman" w:hAnsi="Times New Roman" w:eastAsia="仿宋_GB2312" w:cs="Times New Roman"/>
          <w:color w:val="000000"/>
          <w:kern w:val="0"/>
          <w:sz w:val="32"/>
          <w:szCs w:val="32"/>
        </w:rPr>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bCs/>
          <w:color w:val="000000"/>
          <w:kern w:val="0"/>
          <w:sz w:val="20"/>
          <w:szCs w:val="20"/>
        </w:rPr>
        <w:t>怀化市公安局交通警察支队</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8"/>
        <w:tblW w:w="14326" w:type="dxa"/>
        <w:jc w:val="center"/>
        <w:tblInd w:w="0" w:type="dxa"/>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tblPrEx>
          <w:tblLayout w:type="fixed"/>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Style w:val="15"/>
                <w:rFonts w:hint="default" w:ascii="Times New Roman" w:hAnsi="Times New Roman" w:eastAsia="仿宋_GB2312" w:cs="Times New Roman"/>
                <w:b/>
                <w:bCs/>
              </w:rPr>
              <w:t xml:space="preserve">   </w:t>
            </w:r>
            <w:r>
              <w:rPr>
                <w:rStyle w:val="16"/>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tblPrEx>
          <w:tblLayout w:type="fixed"/>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tblPrEx>
          <w:tblLayout w:type="fixed"/>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pPr>
        <w:widowControl/>
        <w:jc w:val="left"/>
        <w:textAlignment w:val="center"/>
        <w:rPr>
          <w:rFonts w:ascii="Times New Roman" w:hAnsi="Times New Roman" w:eastAsia="仿宋_GB2312" w:cs="Times New Roman"/>
          <w:color w:val="000000"/>
          <w:kern w:val="0"/>
          <w:sz w:val="24"/>
          <w:szCs w:val="24"/>
        </w:rPr>
      </w:pPr>
    </w:p>
    <w:p>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w:t>
      </w:r>
    </w:p>
    <w:p>
      <w:pPr>
        <w:widowControl/>
        <w:jc w:val="center"/>
        <w:rPr>
          <w:rFonts w:ascii="Times New Roman" w:hAnsi="Times New Roman" w:eastAsia="方正小标宋_GBK" w:cs="Times New Roman"/>
          <w:color w:val="000000"/>
          <w:kern w:val="0"/>
          <w:sz w:val="36"/>
          <w:szCs w:val="36"/>
        </w:rPr>
      </w:pPr>
    </w:p>
    <w:p>
      <w:pPr>
        <w:widowControl/>
        <w:spacing w:line="400" w:lineRule="exact"/>
        <w:textAlignment w:val="center"/>
        <w:rPr>
          <w:rFonts w:ascii="Times New Roman" w:hAnsi="Times New Roman" w:eastAsia="黑体" w:cs="Times New Roman"/>
          <w:color w:val="000000"/>
          <w:kern w:val="0"/>
          <w:sz w:val="36"/>
          <w:szCs w:val="36"/>
        </w:rPr>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公开08表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bCs/>
          <w:color w:val="000000"/>
          <w:kern w:val="0"/>
          <w:sz w:val="20"/>
          <w:szCs w:val="20"/>
        </w:rPr>
        <w:t>怀化市公安局交通警察支队</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8"/>
        <w:tblW w:w="14215" w:type="dxa"/>
        <w:tblInd w:w="0" w:type="dxa"/>
        <w:tblLayout w:type="fixed"/>
        <w:tblCellMar>
          <w:top w:w="0" w:type="dxa"/>
          <w:left w:w="108" w:type="dxa"/>
          <w:bottom w:w="0" w:type="dxa"/>
          <w:right w:w="108" w:type="dxa"/>
        </w:tblCellMar>
      </w:tblPr>
      <w:tblGrid>
        <w:gridCol w:w="3093"/>
        <w:gridCol w:w="3097"/>
        <w:gridCol w:w="1831"/>
        <w:gridCol w:w="3097"/>
        <w:gridCol w:w="3097"/>
      </w:tblGrid>
      <w:tr>
        <w:tblPrEx>
          <w:tblLayout w:type="fixed"/>
          <w:tblCellMar>
            <w:top w:w="0" w:type="dxa"/>
            <w:left w:w="108" w:type="dxa"/>
            <w:bottom w:w="0" w:type="dxa"/>
            <w:right w:w="108" w:type="dxa"/>
          </w:tblCellMar>
        </w:tblPrEx>
        <w:trPr>
          <w:trHeight w:val="548" w:hRule="atLeast"/>
        </w:trPr>
        <w:tc>
          <w:tcPr>
            <w:tcW w:w="61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17"/>
                <w:rFonts w:hint="default" w:ascii="Times New Roman" w:hAnsi="Times New Roman" w:eastAsia="仿宋_GB2312" w:cs="Times New Roman"/>
                <w:b/>
                <w:bCs/>
              </w:rPr>
              <w:t>目</w:t>
            </w:r>
          </w:p>
        </w:tc>
        <w:tc>
          <w:tcPr>
            <w:tcW w:w="80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tblPrEx>
          <w:tblLayout w:type="fixed"/>
          <w:tblCellMar>
            <w:top w:w="0" w:type="dxa"/>
            <w:left w:w="108" w:type="dxa"/>
            <w:bottom w:w="0" w:type="dxa"/>
            <w:right w:w="108" w:type="dxa"/>
          </w:tblCellMar>
        </w:tblPrEx>
        <w:trPr>
          <w:trHeight w:val="312" w:hRule="exact"/>
        </w:trPr>
        <w:tc>
          <w:tcPr>
            <w:tcW w:w="30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8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tblPrEx>
          <w:tblLayout w:type="fixed"/>
          <w:tblCellMar>
            <w:top w:w="0" w:type="dxa"/>
            <w:left w:w="108" w:type="dxa"/>
            <w:bottom w:w="0" w:type="dxa"/>
            <w:right w:w="108" w:type="dxa"/>
          </w:tblCellMar>
        </w:tblPrEx>
        <w:trPr>
          <w:trHeight w:val="312" w:hRule="exact"/>
        </w:trPr>
        <w:tc>
          <w:tcPr>
            <w:tcW w:w="3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312" w:hRule="atLeast"/>
        </w:trPr>
        <w:tc>
          <w:tcPr>
            <w:tcW w:w="3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48" w:hRule="atLeast"/>
        </w:trPr>
        <w:tc>
          <w:tcPr>
            <w:tcW w:w="61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tblPrEx>
          <w:tblLayout w:type="fixed"/>
          <w:tblCellMar>
            <w:top w:w="0" w:type="dxa"/>
            <w:left w:w="108" w:type="dxa"/>
            <w:bottom w:w="0" w:type="dxa"/>
            <w:right w:w="108" w:type="dxa"/>
          </w:tblCellMar>
        </w:tblPrEx>
        <w:trPr>
          <w:trHeight w:val="548" w:hRule="atLeast"/>
        </w:trPr>
        <w:tc>
          <w:tcPr>
            <w:tcW w:w="61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48" w:hRule="atLeast"/>
        </w:trPr>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48" w:hRule="atLeast"/>
        </w:trPr>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Layout w:type="fixed"/>
          <w:tblCellMar>
            <w:top w:w="0" w:type="dxa"/>
            <w:left w:w="108" w:type="dxa"/>
            <w:bottom w:w="0" w:type="dxa"/>
            <w:right w:w="108" w:type="dxa"/>
          </w:tblCellMar>
        </w:tblPrEx>
        <w:trPr>
          <w:trHeight w:val="548" w:hRule="atLeast"/>
        </w:trPr>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0"/>
                <w:szCs w:val="20"/>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Layout w:type="fixed"/>
          <w:tblCellMar>
            <w:top w:w="0" w:type="dxa"/>
            <w:left w:w="108" w:type="dxa"/>
            <w:bottom w:w="0" w:type="dxa"/>
            <w:right w:w="108" w:type="dxa"/>
          </w:tblCellMar>
        </w:tblPrEx>
        <w:trPr>
          <w:trHeight w:val="548" w:hRule="atLeast"/>
        </w:trPr>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Layout w:type="fixed"/>
          <w:tblCellMar>
            <w:top w:w="0" w:type="dxa"/>
            <w:left w:w="108" w:type="dxa"/>
            <w:bottom w:w="0" w:type="dxa"/>
            <w:right w:w="108" w:type="dxa"/>
          </w:tblCellMar>
        </w:tblPrEx>
        <w:trPr>
          <w:trHeight w:val="548" w:hRule="atLeast"/>
        </w:trPr>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Layout w:type="fixed"/>
          <w:tblCellMar>
            <w:top w:w="0" w:type="dxa"/>
            <w:left w:w="108" w:type="dxa"/>
            <w:bottom w:w="0" w:type="dxa"/>
            <w:right w:w="108" w:type="dxa"/>
          </w:tblCellMar>
        </w:tblPrEx>
        <w:trPr>
          <w:trHeight w:val="548" w:hRule="atLeast"/>
        </w:trPr>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pPr>
        <w:widowControl/>
        <w:jc w:val="left"/>
        <w:textAlignment w:val="center"/>
        <w:rPr>
          <w:rFonts w:ascii="Times New Roman" w:hAnsi="Times New Roman" w:eastAsia="宋体" w:cs="Times New Roman"/>
          <w:color w:val="000000"/>
          <w:kern w:val="0"/>
          <w:sz w:val="24"/>
          <w:szCs w:val="24"/>
        </w:rPr>
      </w:pPr>
    </w:p>
    <w:p>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w:t>
      </w:r>
    </w:p>
    <w:p>
      <w:pPr>
        <w:widowControl/>
        <w:jc w:val="center"/>
        <w:rPr>
          <w:rFonts w:ascii="Times New Roman" w:hAnsi="Times New Roman" w:eastAsia="方正小标宋_GBK" w:cs="Times New Roman"/>
          <w:color w:val="000000"/>
          <w:kern w:val="0"/>
          <w:sz w:val="36"/>
          <w:szCs w:val="36"/>
        </w:rPr>
      </w:pPr>
    </w:p>
    <w:p>
      <w:pPr>
        <w:pStyle w:val="2"/>
        <w:spacing w:line="400" w:lineRule="exact"/>
        <w:rPr>
          <w:rFonts w:ascii="Times New Roman" w:hAnsi="Times New Roman" w:eastAsia="华文中宋" w:cs="Times New Roman"/>
          <w:color w:val="000000"/>
          <w:kern w:val="0"/>
          <w:sz w:val="32"/>
          <w:szCs w:val="32"/>
        </w:rPr>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仿宋_GB2312" w:cs="Times New Roman"/>
          <w:bCs/>
          <w:color w:val="000000"/>
          <w:kern w:val="0"/>
          <w:sz w:val="20"/>
          <w:szCs w:val="20"/>
        </w:rPr>
        <w:t>怀化市公安局交通警察支队</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8"/>
        <w:tblW w:w="14542" w:type="dxa"/>
        <w:jc w:val="center"/>
        <w:tblInd w:w="0" w:type="dxa"/>
        <w:tblLayout w:type="fixed"/>
        <w:tblCellMar>
          <w:top w:w="0" w:type="dxa"/>
          <w:left w:w="108" w:type="dxa"/>
          <w:bottom w:w="0" w:type="dxa"/>
          <w:right w:w="108" w:type="dxa"/>
        </w:tblCellMar>
      </w:tblPr>
      <w:tblGrid>
        <w:gridCol w:w="934"/>
        <w:gridCol w:w="1227"/>
        <w:gridCol w:w="1085"/>
        <w:gridCol w:w="1187"/>
        <w:gridCol w:w="1425"/>
        <w:gridCol w:w="1376"/>
        <w:gridCol w:w="1050"/>
        <w:gridCol w:w="1166"/>
        <w:gridCol w:w="1166"/>
        <w:gridCol w:w="1166"/>
        <w:gridCol w:w="1358"/>
        <w:gridCol w:w="1402"/>
      </w:tblGrid>
      <w:tr>
        <w:tblPrEx>
          <w:tblLayout w:type="fixed"/>
          <w:tblCellMar>
            <w:top w:w="0" w:type="dxa"/>
            <w:left w:w="108" w:type="dxa"/>
            <w:bottom w:w="0" w:type="dxa"/>
            <w:right w:w="108" w:type="dxa"/>
          </w:tblCellMar>
        </w:tblPrEx>
        <w:trPr>
          <w:trHeight w:val="606" w:hRule="atLeast"/>
          <w:jc w:val="center"/>
        </w:trPr>
        <w:tc>
          <w:tcPr>
            <w:tcW w:w="723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73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tblPrEx>
          <w:tblLayout w:type="fixed"/>
          <w:tblCellMar>
            <w:top w:w="0" w:type="dxa"/>
            <w:left w:w="108" w:type="dxa"/>
            <w:bottom w:w="0" w:type="dxa"/>
            <w:right w:w="108" w:type="dxa"/>
          </w:tblCellMar>
        </w:tblPrEx>
        <w:trPr>
          <w:trHeight w:val="495" w:hRule="atLeast"/>
          <w:jc w:val="center"/>
        </w:trPr>
        <w:tc>
          <w:tcPr>
            <w:tcW w:w="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12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36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13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11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36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14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tblPrEx>
          <w:tblLayout w:type="fixed"/>
          <w:tblCellMar>
            <w:top w:w="0" w:type="dxa"/>
            <w:left w:w="108" w:type="dxa"/>
            <w:bottom w:w="0" w:type="dxa"/>
            <w:right w:w="108" w:type="dxa"/>
          </w:tblCellMar>
        </w:tblPrEx>
        <w:trPr>
          <w:trHeight w:val="864" w:hRule="atLeast"/>
          <w:jc w:val="center"/>
        </w:trPr>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13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1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r>
      <w:tr>
        <w:tblPrEx>
          <w:tblLayout w:type="fixed"/>
          <w:tblCellMar>
            <w:top w:w="0" w:type="dxa"/>
            <w:left w:w="108" w:type="dxa"/>
            <w:bottom w:w="0" w:type="dxa"/>
            <w:right w:w="108" w:type="dxa"/>
          </w:tblCellMar>
        </w:tblPrEx>
        <w:trPr>
          <w:trHeight w:val="614"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13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tblPrEx>
          <w:tblLayout w:type="fixed"/>
          <w:tblCellMar>
            <w:top w:w="0" w:type="dxa"/>
            <w:left w:w="108" w:type="dxa"/>
            <w:bottom w:w="0" w:type="dxa"/>
            <w:right w:w="108" w:type="dxa"/>
          </w:tblCellMar>
        </w:tblPrEx>
        <w:trPr>
          <w:trHeight w:val="579"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223.19</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220.94</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220.94</w:t>
            </w:r>
          </w:p>
        </w:tc>
        <w:tc>
          <w:tcPr>
            <w:tcW w:w="13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2.25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223.19</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220.94</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220.94</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2.25</w:t>
            </w:r>
          </w:p>
        </w:tc>
      </w:tr>
    </w:tbl>
    <w:p>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widowControl/>
        <w:rPr>
          <w:rFonts w:ascii="Times New Roman" w:hAnsi="Times New Roman" w:cs="Times New Roman"/>
          <w:sz w:val="72"/>
          <w:szCs w:val="72"/>
        </w:rPr>
        <w:sectPr>
          <w:pgSz w:w="16838" w:h="11906" w:orient="landscape"/>
          <w:pgMar w:top="1021" w:right="1418" w:bottom="1134" w:left="1418" w:header="851" w:footer="992" w:gutter="0"/>
          <w:cols w:space="425" w:num="1"/>
          <w:docGrid w:type="lines" w:linePitch="312" w:charSpace="0"/>
        </w:sectPr>
      </w:pPr>
      <w:r>
        <w:rPr>
          <w:rFonts w:ascii="Times New Roman" w:hAnsi="Times New Roman" w:eastAsia="黑体" w:cs="Times New Roman"/>
          <w:szCs w:val="21"/>
        </w:rPr>
        <w:br w:type="page"/>
      </w:r>
    </w:p>
    <w:p>
      <w:pPr>
        <w:pStyle w:val="12"/>
        <w:rPr>
          <w:rFonts w:ascii="Times New Roman" w:hAnsi="Times New Roman" w:cs="Times New Roman"/>
          <w:sz w:val="72"/>
          <w:szCs w:val="72"/>
        </w:rPr>
      </w:pPr>
    </w:p>
    <w:p>
      <w:pPr>
        <w:pStyle w:val="12"/>
        <w:rPr>
          <w:rFonts w:ascii="Times New Roman" w:hAnsi="Times New Roman" w:cs="Times New Roman"/>
          <w:sz w:val="72"/>
          <w:szCs w:val="72"/>
        </w:rPr>
      </w:pPr>
    </w:p>
    <w:p>
      <w:pPr>
        <w:pStyle w:val="12"/>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eastAsia="方正小标宋_GBK" w:cs="Times New Roman"/>
          <w:sz w:val="72"/>
          <w:szCs w:val="72"/>
        </w:rPr>
      </w:pPr>
    </w:p>
    <w:p>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12556.08</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rPr>
        <w:t>减少858.84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rPr>
        <w:t>6.4</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项目经费减少。</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12556.08</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12556.08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12556.08</w:t>
      </w:r>
      <w:r>
        <w:rPr>
          <w:rFonts w:ascii="Times New Roman" w:hAnsi="Times New Roman" w:eastAsia="仿宋_GB2312" w:cs="Times New Roman"/>
          <w:sz w:val="32"/>
          <w:szCs w:val="32"/>
        </w:rPr>
        <w:t>万元，其中：基本支出7694.57万元，占</w:t>
      </w:r>
      <w:r>
        <w:rPr>
          <w:rFonts w:hint="eastAsia" w:ascii="Times New Roman" w:hAnsi="Times New Roman" w:eastAsia="仿宋_GB2312" w:cs="Times New Roman"/>
          <w:sz w:val="32"/>
          <w:szCs w:val="32"/>
        </w:rPr>
        <w:t>61.28</w:t>
      </w:r>
      <w:r>
        <w:rPr>
          <w:rFonts w:ascii="Times New Roman" w:hAnsi="Times New Roman" w:eastAsia="仿宋_GB2312" w:cs="Times New Roman"/>
          <w:sz w:val="32"/>
          <w:szCs w:val="32"/>
        </w:rPr>
        <w:t>%；项目支出4861.51万元，占</w:t>
      </w:r>
      <w:r>
        <w:rPr>
          <w:rFonts w:hint="eastAsia" w:ascii="Times New Roman" w:hAnsi="Times New Roman" w:eastAsia="仿宋_GB2312" w:cs="Times New Roman"/>
          <w:sz w:val="32"/>
          <w:szCs w:val="32"/>
        </w:rPr>
        <w:t>38.72</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12556.08</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rPr>
        <w:t>减少858.84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rPr>
        <w:t>6.4</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项目经费减少。</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12556.08</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%，与上年相比，财政拨款支出</w:t>
      </w:r>
      <w:r>
        <w:rPr>
          <w:rFonts w:hint="eastAsia" w:ascii="Times New Roman" w:hAnsi="Times New Roman" w:eastAsia="仿宋_GB2312" w:cs="Times New Roman"/>
          <w:sz w:val="32"/>
          <w:szCs w:val="32"/>
        </w:rPr>
        <w:t>减少858.84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rPr>
        <w:t>6.4</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项目经费减少。</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12556.08</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rPr>
        <w:t>一般公共服务（类）支出7.6万元，占0.06%；公共安全支出</w:t>
      </w:r>
      <w:r>
        <w:rPr>
          <w:rFonts w:ascii="Times New Roman" w:hAnsi="Times New Roman" w:eastAsia="仿宋_GB2312" w:cs="Times New Roman"/>
          <w:sz w:val="32"/>
          <w:szCs w:val="32"/>
        </w:rPr>
        <w:t>11469.83</w:t>
      </w:r>
      <w:r>
        <w:rPr>
          <w:rFonts w:hint="eastAsia" w:ascii="Times New Roman" w:hAnsi="Times New Roman" w:eastAsia="仿宋_GB2312" w:cs="Times New Roman"/>
          <w:sz w:val="32"/>
          <w:szCs w:val="32"/>
        </w:rPr>
        <w:t>万元，占91.35%；社会保障和就业支出</w:t>
      </w:r>
      <w:r>
        <w:rPr>
          <w:rFonts w:ascii="Times New Roman" w:hAnsi="Times New Roman" w:eastAsia="仿宋_GB2312" w:cs="Times New Roman"/>
          <w:sz w:val="32"/>
          <w:szCs w:val="32"/>
        </w:rPr>
        <w:t>474.81</w:t>
      </w:r>
      <w:r>
        <w:rPr>
          <w:rFonts w:hint="eastAsia" w:ascii="Times New Roman" w:hAnsi="Times New Roman" w:eastAsia="仿宋_GB2312" w:cs="Times New Roman"/>
          <w:sz w:val="32"/>
          <w:szCs w:val="32"/>
        </w:rPr>
        <w:t>万元，占3.78%；卫生健康支出</w:t>
      </w:r>
      <w:r>
        <w:rPr>
          <w:rFonts w:ascii="Times New Roman" w:hAnsi="Times New Roman" w:eastAsia="仿宋_GB2312" w:cs="Times New Roman"/>
          <w:sz w:val="32"/>
          <w:szCs w:val="32"/>
        </w:rPr>
        <w:t>185.46</w:t>
      </w:r>
      <w:r>
        <w:rPr>
          <w:rFonts w:hint="eastAsia" w:ascii="Times New Roman" w:hAnsi="Times New Roman" w:eastAsia="仿宋_GB2312" w:cs="Times New Roman"/>
          <w:sz w:val="32"/>
          <w:szCs w:val="32"/>
        </w:rPr>
        <w:t>万元，占1.48%；交通运输支出</w:t>
      </w:r>
      <w:r>
        <w:rPr>
          <w:rFonts w:ascii="Times New Roman" w:hAnsi="Times New Roman" w:eastAsia="仿宋_GB2312" w:cs="Times New Roman"/>
          <w:sz w:val="32"/>
          <w:szCs w:val="32"/>
        </w:rPr>
        <w:t>96</w:t>
      </w:r>
      <w:r>
        <w:rPr>
          <w:rFonts w:hint="eastAsia" w:ascii="Times New Roman" w:hAnsi="Times New Roman" w:eastAsia="仿宋_GB2312" w:cs="Times New Roman"/>
          <w:sz w:val="32"/>
          <w:szCs w:val="32"/>
        </w:rPr>
        <w:t>.00万元，占0.76%；住房保障支出</w:t>
      </w:r>
      <w:r>
        <w:rPr>
          <w:rFonts w:ascii="Times New Roman" w:hAnsi="Times New Roman" w:eastAsia="仿宋_GB2312" w:cs="Times New Roman"/>
          <w:sz w:val="32"/>
          <w:szCs w:val="32"/>
        </w:rPr>
        <w:t>322.38</w:t>
      </w:r>
      <w:r>
        <w:rPr>
          <w:rFonts w:hint="eastAsia" w:ascii="Times New Roman" w:hAnsi="Times New Roman" w:eastAsia="仿宋_GB2312" w:cs="Times New Roman"/>
          <w:sz w:val="32"/>
          <w:szCs w:val="32"/>
        </w:rPr>
        <w:t>万元，占2.57%。</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2024年度财政拨款支出年初预算数为10880</w:t>
      </w:r>
      <w:r>
        <w:rPr>
          <w:rFonts w:hint="eastAsia" w:ascii="Times New Roman" w:hAnsi="Times New Roman" w:eastAsia="仿宋_GB2312" w:cs="Times New Roman"/>
          <w:sz w:val="32"/>
          <w:szCs w:val="32"/>
        </w:rPr>
        <w:t>.72</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rPr>
        <w:t>12556.08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%，其中：</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w:t>
      </w:r>
      <w:r>
        <w:rPr>
          <w:rFonts w:hint="eastAsia" w:ascii="Times New Roman" w:hAnsi="Times New Roman" w:eastAsia="仿宋_GB2312" w:cs="Times New Roman"/>
          <w:sz w:val="32"/>
          <w:szCs w:val="32"/>
        </w:rPr>
        <w:t>支出</w:t>
      </w:r>
      <w:r>
        <w:rPr>
          <w:rFonts w:ascii="Times New Roman" w:hAnsi="Times New Roman" w:eastAsia="仿宋_GB2312" w:cs="Times New Roman"/>
          <w:sz w:val="32"/>
          <w:szCs w:val="32"/>
        </w:rPr>
        <w:t>201（类）03（款）02（项）</w:t>
      </w:r>
      <w:r>
        <w:rPr>
          <w:rFonts w:hint="eastAsia" w:ascii="Times New Roman" w:hAnsi="Times New Roman" w:eastAsia="仿宋_GB2312" w:cs="Times New Roman"/>
          <w:sz w:val="32"/>
          <w:szCs w:val="32"/>
        </w:rPr>
        <w:t>：一般行政管理事务</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万元，支出决算为2</w:t>
      </w:r>
      <w:r>
        <w:rPr>
          <w:rFonts w:hint="eastAsia" w:ascii="Times New Roman" w:hAnsi="Times New Roman" w:eastAsia="仿宋_GB2312" w:cs="Times New Roman"/>
          <w:sz w:val="32"/>
          <w:szCs w:val="32"/>
        </w:rPr>
        <w:t>.00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rPr>
        <w:t>本年度</w:t>
      </w:r>
      <w:r>
        <w:rPr>
          <w:rFonts w:hint="eastAsia" w:ascii="Times New Roman" w:hAnsi="Times New Roman" w:eastAsia="仿宋_GB2312" w:cs="Times New Roman"/>
          <w:sz w:val="32"/>
          <w:szCs w:val="32"/>
          <w:lang w:eastAsia="zh-CN"/>
        </w:rPr>
        <w:t>发生了资产处置评估费</w:t>
      </w:r>
      <w:r>
        <w:rPr>
          <w:rFonts w:hint="eastAsia" w:ascii="Times New Roman" w:hAnsi="Times New Roman" w:eastAsia="仿宋_GB2312" w:cs="Times New Roman"/>
          <w:sz w:val="32"/>
          <w:szCs w:val="32"/>
        </w:rPr>
        <w:t>，而年初预算未纳入。</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2、一般公共服务</w:t>
      </w:r>
      <w:r>
        <w:rPr>
          <w:rFonts w:hint="eastAsia" w:ascii="Times New Roman" w:hAnsi="Times New Roman" w:eastAsia="仿宋_GB2312" w:cs="Times New Roman"/>
          <w:sz w:val="32"/>
          <w:szCs w:val="32"/>
        </w:rPr>
        <w:t>支出201</w:t>
      </w:r>
      <w:r>
        <w:rPr>
          <w:rFonts w:ascii="Times New Roman" w:hAnsi="Times New Roman" w:eastAsia="仿宋_GB2312" w:cs="Times New Roman"/>
          <w:sz w:val="32"/>
          <w:szCs w:val="32"/>
        </w:rPr>
        <w:t>（类）99（款）99（项）</w:t>
      </w:r>
      <w:r>
        <w:rPr>
          <w:rFonts w:hint="eastAsia" w:ascii="Times New Roman" w:hAnsi="Times New Roman" w:eastAsia="仿宋_GB2312" w:cs="Times New Roman"/>
          <w:sz w:val="32"/>
          <w:szCs w:val="32"/>
        </w:rPr>
        <w:t>：其他一般公共服务支出</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5.6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rPr>
        <w:t>本年度</w:t>
      </w:r>
      <w:r>
        <w:rPr>
          <w:rFonts w:hint="eastAsia" w:ascii="Times New Roman" w:hAnsi="Times New Roman" w:eastAsia="仿宋_GB2312" w:cs="Times New Roman"/>
          <w:sz w:val="32"/>
          <w:szCs w:val="32"/>
          <w:lang w:eastAsia="zh-CN"/>
        </w:rPr>
        <w:t>发生了</w:t>
      </w:r>
      <w:r>
        <w:rPr>
          <w:rFonts w:hint="eastAsia" w:ascii="Times New Roman" w:hAnsi="Times New Roman" w:eastAsia="仿宋_GB2312" w:cs="Times New Roman"/>
          <w:sz w:val="32"/>
          <w:szCs w:val="32"/>
        </w:rPr>
        <w:t>其他一般公共服务支出，而年初预算未纳入。</w:t>
      </w:r>
    </w:p>
    <w:p>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3、公共安全支出204</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02</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01</w:t>
      </w:r>
      <w:r>
        <w:rPr>
          <w:rFonts w:ascii="Times New Roman" w:hAnsi="Times New Roman" w:eastAsia="仿宋_GB2312" w:cs="Times New Roman"/>
          <w:sz w:val="32"/>
          <w:szCs w:val="32"/>
        </w:rPr>
        <w:t>（项）</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w:t>
      </w:r>
    </w:p>
    <w:p>
      <w:pPr>
        <w:pStyle w:val="12"/>
        <w:overflowPunct w:val="0"/>
        <w:autoSpaceDE/>
        <w:autoSpaceDN/>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color w:val="auto"/>
          <w:sz w:val="32"/>
          <w:szCs w:val="32"/>
        </w:rPr>
        <w:t>年初预算</w:t>
      </w:r>
      <w:r>
        <w:rPr>
          <w:rFonts w:ascii="Times New Roman" w:hAnsi="Times New Roman" w:eastAsia="仿宋_GB2312" w:cs="Times New Roman"/>
          <w:sz w:val="32"/>
          <w:szCs w:val="32"/>
        </w:rPr>
        <w:t>为</w:t>
      </w:r>
      <w:r>
        <w:rPr>
          <w:rFonts w:hint="eastAsia" w:ascii="Times New Roman" w:hAnsi="Times New Roman" w:eastAsia="仿宋_GB2312" w:cs="Times New Roman"/>
          <w:sz w:val="32"/>
          <w:szCs w:val="32"/>
        </w:rPr>
        <w:t>6766.08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6711.93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rPr>
        <w:t>99.20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rPr>
        <w:t>厉行节约，进一步加强内控管理。</w:t>
      </w:r>
    </w:p>
    <w:p>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4、公共安全支出204（类）02（款）02（项）：一般行政管理事务。</w:t>
      </w:r>
    </w:p>
    <w:p>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年初预算为0万元，支出决算为70.00万元，完成年初预算的100%，决算数大于年初预算数的主要原因是：本年度</w:t>
      </w:r>
      <w:r>
        <w:rPr>
          <w:rFonts w:hint="eastAsia" w:ascii="Times New Roman" w:hAnsi="Times New Roman" w:eastAsia="仿宋_GB2312" w:cs="Times New Roman"/>
          <w:sz w:val="32"/>
          <w:szCs w:val="32"/>
          <w:lang w:eastAsia="zh-CN"/>
        </w:rPr>
        <w:t>发生了</w:t>
      </w:r>
      <w:r>
        <w:rPr>
          <w:rFonts w:hint="eastAsia" w:ascii="Times New Roman" w:hAnsi="Times New Roman" w:eastAsia="仿宋_GB2312" w:cs="Times New Roman"/>
          <w:sz w:val="32"/>
          <w:szCs w:val="32"/>
        </w:rPr>
        <w:t>行政管理事务</w:t>
      </w:r>
      <w:r>
        <w:rPr>
          <w:rFonts w:hint="eastAsia" w:ascii="Times New Roman" w:hAnsi="Times New Roman" w:eastAsia="仿宋_GB2312" w:cs="Times New Roman"/>
          <w:sz w:val="32"/>
          <w:szCs w:val="32"/>
          <w:lang w:eastAsia="zh-CN"/>
        </w:rPr>
        <w:t>支出</w:t>
      </w:r>
      <w:r>
        <w:rPr>
          <w:rFonts w:hint="eastAsia" w:ascii="Times New Roman" w:hAnsi="Times New Roman" w:eastAsia="仿宋_GB2312" w:cs="Times New Roman"/>
          <w:sz w:val="32"/>
          <w:szCs w:val="32"/>
        </w:rPr>
        <w:t>，而年初预算未纳入。</w:t>
      </w:r>
    </w:p>
    <w:p>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5、公共安全支出204（类）02（款）20（项）：执法办案。</w:t>
      </w:r>
    </w:p>
    <w:p>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年初预算为0万元，支出决算为1043.00万元，完成年初预算的100%，决算数大于年初预算数的主要原因是：本年度发生了省拨科目三考场经费</w:t>
      </w:r>
      <w:r>
        <w:rPr>
          <w:rFonts w:hint="eastAsia" w:ascii="Times New Roman" w:hAnsi="Times New Roman" w:eastAsia="仿宋_GB2312" w:cs="Times New Roman"/>
          <w:sz w:val="32"/>
          <w:szCs w:val="32"/>
          <w:lang w:eastAsia="zh-CN"/>
        </w:rPr>
        <w:t>支出</w:t>
      </w:r>
      <w:r>
        <w:rPr>
          <w:rFonts w:hint="eastAsia" w:ascii="Times New Roman" w:hAnsi="Times New Roman" w:eastAsia="仿宋_GB2312" w:cs="Times New Roman"/>
          <w:sz w:val="32"/>
          <w:szCs w:val="32"/>
        </w:rPr>
        <w:t>，而年初预算未纳入。</w:t>
      </w:r>
    </w:p>
    <w:p>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6、公共安全支出204（类）02（款）99（项）：其他公安支出。</w:t>
      </w:r>
    </w:p>
    <w:p>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年初预算为3170.06万元，支出决算为3629.91万元，完成年初预算的100%，决算数大于年初预算数的主要原因是：其他商品服务支出增多，导致经费增加。</w:t>
      </w:r>
    </w:p>
    <w:p>
      <w:pPr>
        <w:pStyle w:val="12"/>
        <w:overflowPunct w:val="0"/>
        <w:autoSpaceDE/>
        <w:autoSpaceDN/>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7、公共安全支出204（类）99（款）99（项）：其他公共安全支出。</w:t>
      </w:r>
    </w:p>
    <w:p>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年初预算为0万元，支出决算为15.00万元，完成年初预算的100%，决算数大于年初预算数的主要原因是：其他公共安全支出增多，导致经费增加。</w:t>
      </w:r>
    </w:p>
    <w:p>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8、社会保障和就业支出208（类）05（款）05（项）：机关事业单位基本养老保险缴费支出。</w:t>
      </w:r>
    </w:p>
    <w:p>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年初预算为428.19万元，支出决算为</w:t>
      </w:r>
      <w:r>
        <w:rPr>
          <w:rFonts w:ascii="Times New Roman" w:hAnsi="Times New Roman" w:eastAsia="仿宋_GB2312" w:cs="Times New Roman"/>
          <w:sz w:val="32"/>
          <w:szCs w:val="32"/>
        </w:rPr>
        <w:t>474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8</w:t>
      </w:r>
      <w:r>
        <w:rPr>
          <w:rFonts w:hint="eastAsia" w:ascii="Times New Roman" w:hAnsi="Times New Roman" w:eastAsia="仿宋_GB2312" w:cs="Times New Roman"/>
          <w:sz w:val="32"/>
          <w:szCs w:val="32"/>
        </w:rPr>
        <w:t>1万元，完成年初预算的100%，决算数大于年初预算数的主要原因是：本年度</w:t>
      </w:r>
      <w:r>
        <w:rPr>
          <w:rFonts w:hint="eastAsia" w:ascii="Times New Roman" w:hAnsi="Times New Roman" w:eastAsia="仿宋_GB2312" w:cs="Times New Roman"/>
          <w:sz w:val="32"/>
          <w:szCs w:val="32"/>
          <w:lang w:eastAsia="zh-CN"/>
        </w:rPr>
        <w:t>因有工资调整，</w:t>
      </w:r>
      <w:r>
        <w:rPr>
          <w:rFonts w:hint="eastAsia" w:ascii="Times New Roman" w:hAnsi="Times New Roman" w:eastAsia="仿宋_GB2312" w:cs="Times New Roman"/>
          <w:sz w:val="32"/>
          <w:szCs w:val="32"/>
        </w:rPr>
        <w:t>机关事业单位基本养老保险缴费增加，年初预算未完全纳入。</w:t>
      </w:r>
    </w:p>
    <w:p>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9、卫生健康支出210（类）11（款）01（项）：行政单位医疗。</w:t>
      </w:r>
    </w:p>
    <w:p>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年初预算为181.01万元，支出决算为</w:t>
      </w:r>
      <w:r>
        <w:rPr>
          <w:rFonts w:ascii="Times New Roman" w:hAnsi="Times New Roman" w:eastAsia="仿宋_GB2312" w:cs="Times New Roman"/>
          <w:sz w:val="32"/>
          <w:szCs w:val="32"/>
        </w:rPr>
        <w:t>185</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46</w:t>
      </w:r>
      <w:r>
        <w:rPr>
          <w:rFonts w:hint="eastAsia" w:ascii="Times New Roman" w:hAnsi="Times New Roman" w:eastAsia="仿宋_GB2312" w:cs="Times New Roman"/>
          <w:sz w:val="32"/>
          <w:szCs w:val="32"/>
        </w:rPr>
        <w:t>万元，完成年初预算的100%，决算数大于年初预算数的主要原因是：本年度</w:t>
      </w:r>
      <w:r>
        <w:rPr>
          <w:rFonts w:hint="eastAsia" w:ascii="Times New Roman" w:hAnsi="Times New Roman" w:eastAsia="仿宋_GB2312" w:cs="Times New Roman"/>
          <w:sz w:val="32"/>
          <w:szCs w:val="32"/>
          <w:lang w:eastAsia="zh-CN"/>
        </w:rPr>
        <w:t>因有工资调整，</w:t>
      </w:r>
      <w:r>
        <w:rPr>
          <w:rFonts w:hint="eastAsia" w:ascii="Times New Roman" w:hAnsi="Times New Roman" w:eastAsia="仿宋_GB2312" w:cs="Times New Roman"/>
          <w:sz w:val="32"/>
          <w:szCs w:val="32"/>
        </w:rPr>
        <w:t>职工基本医疗保险缴费增加，年初预算未完全纳入。</w:t>
      </w:r>
    </w:p>
    <w:p>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10、交通运输支出214（类）99（款）99（项）：其他交通运输支出。</w:t>
      </w:r>
    </w:p>
    <w:p>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年初预算为0万元，支出决算为96.00万元，完成年初预算的100%，决算数大于年初预算数的主要原因是：</w:t>
      </w:r>
      <w:r>
        <w:rPr>
          <w:rFonts w:hint="eastAsia" w:ascii="Times New Roman" w:hAnsi="Times New Roman" w:eastAsia="仿宋_GB2312" w:cs="Times New Roman"/>
          <w:sz w:val="32"/>
          <w:szCs w:val="32"/>
          <w:lang w:eastAsia="zh-CN"/>
        </w:rPr>
        <w:t>本年度发生了交通顽瘴痼疾整治经费支出，而</w:t>
      </w:r>
      <w:r>
        <w:rPr>
          <w:rFonts w:hint="eastAsia" w:ascii="Times New Roman" w:hAnsi="Times New Roman" w:eastAsia="仿宋_GB2312" w:cs="Times New Roman"/>
          <w:sz w:val="32"/>
          <w:szCs w:val="32"/>
        </w:rPr>
        <w:t>年初未纳入预算。</w:t>
      </w:r>
    </w:p>
    <w:p>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11、住房保障支出221（类）02（款）01（项）：住房公积金。</w:t>
      </w:r>
    </w:p>
    <w:p>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年初预算为335.37万元，支出决算为</w:t>
      </w:r>
      <w:r>
        <w:rPr>
          <w:rFonts w:ascii="Times New Roman" w:hAnsi="Times New Roman" w:eastAsia="仿宋_GB2312" w:cs="Times New Roman"/>
          <w:sz w:val="32"/>
          <w:szCs w:val="32"/>
        </w:rPr>
        <w:t>322</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8万元，完成年初预算的96.13%，决算数小于年初预算数的主要原因是：本年度有人员减少，</w:t>
      </w:r>
      <w:r>
        <w:rPr>
          <w:rFonts w:hint="eastAsia" w:ascii="Times New Roman" w:hAnsi="Times New Roman" w:eastAsia="仿宋_GB2312" w:cs="Times New Roman"/>
          <w:sz w:val="32"/>
          <w:szCs w:val="32"/>
          <w:lang w:eastAsia="zh-CN"/>
        </w:rPr>
        <w:t>住房公积金支出</w:t>
      </w:r>
      <w:r>
        <w:rPr>
          <w:rFonts w:hint="eastAsia" w:ascii="Times New Roman" w:hAnsi="Times New Roman" w:eastAsia="仿宋_GB2312" w:cs="Times New Roman"/>
          <w:sz w:val="32"/>
          <w:szCs w:val="32"/>
        </w:rPr>
        <w:t>减少。</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2024年度一般公共预算财政拨款基本支出7694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57万元，其中：</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ascii="Times New Roman" w:hAnsi="Times New Roman" w:eastAsia="仿宋_GB2312" w:cs="Times New Roman"/>
          <w:sz w:val="32"/>
          <w:szCs w:val="32"/>
        </w:rPr>
        <w:t>6730</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25万元，占基本支出的</w:t>
      </w:r>
      <w:r>
        <w:rPr>
          <w:rFonts w:hint="eastAsia" w:ascii="Times New Roman" w:hAnsi="Times New Roman" w:eastAsia="仿宋_GB2312" w:cs="Times New Roman"/>
          <w:sz w:val="32"/>
          <w:szCs w:val="32"/>
        </w:rPr>
        <w:t>87.47</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基本工资、津贴补贴、奖金、伙食补助费、机关事业单位基本养老保险缴费、职工基本医疗保险缴费、其他工资福利支出、抚恤金、生活补助、其他对个人和家庭的补助。</w:t>
      </w:r>
    </w:p>
    <w:p>
      <w:pPr>
        <w:pStyle w:val="12"/>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rPr>
        <w:t>964.32</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rPr>
        <w:t>12.53</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办公费、印刷费、咨询费、水费、电费、邮电费、差旅费、维修（护）费、会议费、培训费、公务接待费、专用材料费、劳务费、委托业务费、工会经费、福利费、公务用车运行维护费、其他交通费用、其他商品和服务支出、办公设备购置。</w:t>
      </w:r>
    </w:p>
    <w:p>
      <w:pPr>
        <w:pStyle w:val="12"/>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rPr>
        <w:t>222.20</w:t>
      </w:r>
      <w:r>
        <w:rPr>
          <w:rFonts w:ascii="Times New Roman" w:hAnsi="Times New Roman" w:eastAsia="仿宋_GB2312" w:cs="Times New Roman"/>
          <w:sz w:val="32"/>
          <w:szCs w:val="32"/>
        </w:rPr>
        <w:t>万元，支出决算为223</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19万元，完成预算的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rPr>
        <w:t>116.75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rPr>
        <w:t>34.34</w:t>
      </w:r>
      <w:r>
        <w:rPr>
          <w:rFonts w:ascii="Times New Roman" w:hAnsi="Times New Roman" w:eastAsia="仿宋_GB2312" w:cs="Times New Roman"/>
          <w:sz w:val="32"/>
          <w:szCs w:val="32"/>
        </w:rPr>
        <w:t>%。决算数大于预算数的主要原因是</w:t>
      </w:r>
      <w:r>
        <w:rPr>
          <w:rFonts w:hint="eastAsia" w:ascii="Times New Roman" w:hAnsi="Times New Roman" w:eastAsia="仿宋_GB2312" w:cs="Times New Roman"/>
          <w:sz w:val="32"/>
          <w:szCs w:val="32"/>
        </w:rPr>
        <w:t>公务用车运行维护费增加</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sz w:val="32"/>
          <w:szCs w:val="32"/>
        </w:rPr>
        <w:t>厉行节约，严格控制“三公”经费支出</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决算数等于年初预算数的主要原因是无因公出国安排。</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rPr>
        <w:t>218.20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220.94</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rPr>
        <w:t>116.49</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rPr>
        <w:t>34.52</w:t>
      </w:r>
      <w:r>
        <w:rPr>
          <w:rFonts w:ascii="Times New Roman" w:hAnsi="Times New Roman" w:eastAsia="仿宋_GB2312" w:cs="Times New Roman"/>
          <w:sz w:val="32"/>
          <w:szCs w:val="32"/>
        </w:rPr>
        <w:t>%。其中：</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rPr>
        <w:t>120.48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rPr>
        <w:t>218.20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220.94</w:t>
      </w:r>
      <w:r>
        <w:rPr>
          <w:rFonts w:ascii="Times New Roman" w:hAnsi="Times New Roman" w:eastAsia="仿宋_GB2312" w:cs="Times New Roman"/>
          <w:sz w:val="32"/>
          <w:szCs w:val="32"/>
        </w:rPr>
        <w:t>万元，</w:t>
      </w:r>
    </w:p>
    <w:p>
      <w:pPr>
        <w:pStyle w:val="12"/>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rPr>
        <w:t>车辆运维费用</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rPr>
        <w:t>3.99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1.84</w:t>
      </w:r>
      <w:r>
        <w:rPr>
          <w:rFonts w:ascii="Times New Roman" w:hAnsi="Times New Roman" w:eastAsia="仿宋_GB2312" w:cs="Times New Roman"/>
          <w:sz w:val="32"/>
          <w:szCs w:val="32"/>
        </w:rPr>
        <w:t>%。决算数大于预算数的主要原因是</w:t>
      </w:r>
      <w:r>
        <w:rPr>
          <w:rFonts w:hint="eastAsia" w:ascii="Times New Roman" w:hAnsi="Times New Roman" w:eastAsia="仿宋_GB2312" w:cs="Times New Roman"/>
          <w:sz w:val="32"/>
          <w:szCs w:val="32"/>
        </w:rPr>
        <w:t>本年度“湘商大会”专项开支，车辆运维费用增加</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rPr>
        <w:t>71</w:t>
      </w:r>
      <w:r>
        <w:rPr>
          <w:rFonts w:ascii="Times New Roman" w:hAnsi="Times New Roman" w:eastAsia="仿宋_GB2312" w:cs="Times New Roman"/>
          <w:sz w:val="32"/>
          <w:szCs w:val="32"/>
        </w:rPr>
        <w:t>辆。</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rPr>
        <w:t>4.00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2.25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56.25</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rPr>
        <w:t>0.26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rPr>
        <w:t>10.36</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rPr>
        <w:t>本单位例行节约</w:t>
      </w:r>
      <w:r>
        <w:rPr>
          <w:rFonts w:ascii="Times New Roman" w:hAnsi="Times New Roman" w:eastAsia="仿宋_GB2312" w:cs="Times New Roman"/>
          <w:sz w:val="32"/>
          <w:szCs w:val="32"/>
        </w:rPr>
        <w:t>。2024年度共接待来访团组27个、来宾179人次，主要是</w:t>
      </w:r>
      <w:r>
        <w:rPr>
          <w:rFonts w:hint="eastAsia" w:ascii="Times New Roman" w:hAnsi="Times New Roman" w:eastAsia="仿宋_GB2312" w:cs="Times New Roman"/>
          <w:sz w:val="32"/>
          <w:szCs w:val="32"/>
        </w:rPr>
        <w:t>公共交通警察业务发生的接待支出</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本单位无政府性基金收支。</w:t>
      </w:r>
    </w:p>
    <w:p>
      <w:pPr>
        <w:pStyle w:val="12"/>
        <w:numPr>
          <w:ilvl w:val="0"/>
          <w:numId w:val="2"/>
        </w:numPr>
        <w:overflowPunct w:val="0"/>
        <w:autoSpaceDE/>
        <w:autoSpaceDN/>
        <w:spacing w:line="600" w:lineRule="exact"/>
        <w:ind w:left="-10" w:leftChars="0" w:firstLine="640" w:firstLineChars="0"/>
        <w:jc w:val="both"/>
        <w:rPr>
          <w:rFonts w:ascii="Times New Roman" w:hAnsi="Times New Roman" w:cs="Times New Roman"/>
          <w:bCs/>
          <w:sz w:val="32"/>
          <w:szCs w:val="32"/>
        </w:rPr>
      </w:pPr>
      <w:r>
        <w:rPr>
          <w:rFonts w:hint="eastAsia" w:ascii="Times New Roman" w:hAnsi="Times New Roman" w:cs="Times New Roman"/>
          <w:bCs/>
          <w:sz w:val="32"/>
          <w:szCs w:val="32"/>
        </w:rPr>
        <w:t>国有资本经营预算</w:t>
      </w:r>
      <w:r>
        <w:rPr>
          <w:rFonts w:ascii="Times New Roman" w:hAnsi="Times New Roman" w:cs="Times New Roman"/>
          <w:bCs/>
          <w:sz w:val="32"/>
          <w:szCs w:val="32"/>
        </w:rPr>
        <w:t>收入支出决算情况</w:t>
      </w:r>
    </w:p>
    <w:p>
      <w:pPr>
        <w:pStyle w:val="12"/>
        <w:overflowPunct w:val="0"/>
        <w:autoSpaceDE/>
        <w:autoSpaceDN/>
        <w:spacing w:line="600" w:lineRule="exact"/>
        <w:ind w:firstLine="640" w:firstLineChars="200"/>
        <w:jc w:val="both"/>
        <w:rPr>
          <w:rFonts w:hint="eastAsia" w:ascii="Times New Roman" w:hAnsi="Times New Roman" w:cs="Times New Roman"/>
          <w:bCs/>
          <w:sz w:val="32"/>
          <w:szCs w:val="32"/>
        </w:rPr>
      </w:pPr>
      <w:r>
        <w:rPr>
          <w:rFonts w:hint="eastAsia" w:ascii="Times New Roman" w:hAnsi="Times New Roman" w:eastAsia="仿宋_GB2312" w:cs="Times New Roman"/>
          <w:sz w:val="32"/>
          <w:szCs w:val="32"/>
        </w:rPr>
        <w:t>本单位无国有资本经营预算收支。</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十、关于机关运行经费支出说明</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本部门2024年度机关运行经费支出762</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46万元，比年初预算数减少</w:t>
      </w:r>
      <w:r>
        <w:rPr>
          <w:rFonts w:hint="eastAsia" w:ascii="Times New Roman" w:hAnsi="Times New Roman" w:eastAsia="仿宋_GB2312" w:cs="Times New Roman"/>
          <w:sz w:val="32"/>
          <w:szCs w:val="32"/>
        </w:rPr>
        <w:t>179.48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rPr>
        <w:t>19.05</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rPr>
        <w:t>本单位例行节约</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十一、一般性支出情况说明</w:t>
      </w:r>
    </w:p>
    <w:p>
      <w:pPr>
        <w:pStyle w:val="12"/>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rPr>
        <w:t>0.98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具体内容涉密不予公开</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rPr>
        <w:t>15.90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具体内容涉密不予公开</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ascii="Times New Roman" w:hAnsi="Times New Roman" w:cs="Times New Roman"/>
          <w:bCs/>
          <w:color w:val="auto"/>
          <w:sz w:val="32"/>
          <w:szCs w:val="32"/>
        </w:rPr>
        <w:t>二</w:t>
      </w:r>
      <w:r>
        <w:rPr>
          <w:rFonts w:ascii="Times New Roman" w:hAnsi="Times New Roman" w:cs="Times New Roman"/>
          <w:bCs/>
          <w:sz w:val="32"/>
          <w:szCs w:val="32"/>
        </w:rPr>
        <w:t>、关于政府采购支出说明</w:t>
      </w:r>
    </w:p>
    <w:p>
      <w:pPr>
        <w:pStyle w:val="12"/>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本部门2024年度政府采购支出总额2945</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15万元，其中：政府采购货物支出1334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15万元、政府采购工程支出1611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00万元、政府采购服务支出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万元。授予中小企业合同金额2945</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15万元，占政府采购支出总额的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%，其中：授予小微企业合同金额2945</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15万元，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rPr>
        <w:t>45.30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rPr>
        <w:t>54.70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w:t>
      </w:r>
    </w:p>
    <w:p>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十三、关于国有资产占用情况说明</w:t>
      </w:r>
    </w:p>
    <w:p>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rPr>
        <w:t>71</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rPr>
        <w:t>63</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rPr>
        <w:t>8</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s="Times New Roman"/>
          <w:color w:val="auto"/>
          <w:sz w:val="32"/>
          <w:szCs w:val="32"/>
        </w:rPr>
        <w:t>公务用</w:t>
      </w:r>
      <w:r>
        <w:rPr>
          <w:rFonts w:ascii="Times New Roman" w:hAnsi="Times New Roman" w:eastAsia="仿宋_GB2312" w:cs="Times New Roman"/>
          <w:color w:val="auto"/>
          <w:sz w:val="32"/>
          <w:szCs w:val="32"/>
        </w:rPr>
        <w:t>车；单位价值100万元以上设备</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台（套）。</w:t>
      </w:r>
    </w:p>
    <w:p>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pStyle w:val="12"/>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本部门预算绩效管理开展情况、绩效目标和绩效评价报告等按照财政绩效部门要求已公开，见附件。</w:t>
      </w: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both"/>
        <w:rPr>
          <w:rFonts w:ascii="Times New Roman" w:hAnsi="Times New Roman" w:cs="Times New Roman"/>
          <w:sz w:val="72"/>
          <w:szCs w:val="72"/>
        </w:rPr>
      </w:pPr>
    </w:p>
    <w:p>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pPr>
        <w:widowControl/>
        <w:jc w:val="left"/>
        <w:rPr>
          <w:rFonts w:ascii="Times New Roman" w:hAnsi="Times New Roman" w:cs="Times New Roman"/>
          <w:color w:val="000000"/>
          <w:kern w:val="0"/>
          <w:sz w:val="32"/>
          <w:szCs w:val="32"/>
        </w:rPr>
      </w:pPr>
    </w:p>
    <w:p>
      <w:pPr>
        <w:widowControl/>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一、</w:t>
      </w:r>
      <w:r>
        <w:rPr>
          <w:rFonts w:hint="eastAsia" w:ascii="Times New Roman" w:hAnsi="Times New Roman" w:eastAsia="仿宋_GB2312" w:cs="Times New Roman"/>
          <w:b/>
          <w:bCs/>
          <w:color w:val="000000"/>
          <w:kern w:val="0"/>
          <w:sz w:val="32"/>
          <w:szCs w:val="32"/>
        </w:rPr>
        <w:t>机关运行经费。</w:t>
      </w:r>
      <w:r>
        <w:rPr>
          <w:rFonts w:hint="eastAsia" w:ascii="Times New Roman" w:hAnsi="Times New Roman" w:eastAsia="仿宋_GB2312" w:cs="Times New Roman"/>
          <w:color w:val="000000"/>
          <w:kern w:val="0"/>
          <w:sz w:val="32"/>
          <w:szCs w:val="32"/>
        </w:rPr>
        <w:t>为保障行政单位（包括参照公务员管理的事业单位）运行。用一般公共预算拨款安排用于购买货物和服务的各项资金，包括办公及印刷费、邮电费、咨询费、会议费、福利费、日常维修费、办公用房水电费、公务用车维护费等。</w:t>
      </w:r>
    </w:p>
    <w:p>
      <w:pPr>
        <w:widowControl/>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b/>
          <w:bCs/>
          <w:color w:val="000000"/>
          <w:kern w:val="0"/>
          <w:sz w:val="32"/>
          <w:szCs w:val="32"/>
        </w:rPr>
        <w:t>二、“三公”经费。</w:t>
      </w:r>
      <w:r>
        <w:rPr>
          <w:rFonts w:hint="eastAsia" w:ascii="Times New Roman" w:hAnsi="Times New Roman" w:eastAsia="仿宋_GB2312" w:cs="Times New Roman"/>
          <w:color w:val="000000"/>
          <w:kern w:val="0"/>
          <w:sz w:val="32"/>
          <w:szCs w:val="32"/>
        </w:rPr>
        <w:t>纳入财政预算管理的“三公”经费，是指用一般公共预算拨款安排的公务接待费、公共用车购置及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w:t>
      </w: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both"/>
        <w:rPr>
          <w:rFonts w:ascii="Times New Roman" w:hAnsi="Times New Roman" w:cs="Times New Roman"/>
          <w:sz w:val="72"/>
          <w:szCs w:val="72"/>
        </w:rPr>
      </w:pPr>
    </w:p>
    <w:p>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pPr>
        <w:rPr>
          <w:rFonts w:ascii="Times New Roman" w:hAnsi="Times New Roman" w:cs="Times New Roman"/>
          <w:sz w:val="72"/>
          <w:szCs w:val="72"/>
        </w:rPr>
      </w:pPr>
    </w:p>
    <w:p>
      <w:pPr>
        <w:pStyle w:val="12"/>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hint="eastAsia" w:ascii="Times New Roman" w:hAnsi="Times New Roman" w:eastAsia="仿宋_GB2312" w:cs="Times New Roman"/>
          <w:sz w:val="32"/>
          <w:szCs w:val="32"/>
        </w:rPr>
        <w:t>2024年度怀化市公安局交通警察支队整体支出绩效自评报告。</w:t>
      </w:r>
    </w:p>
    <w:p>
      <w:pPr>
        <w:pStyle w:val="12"/>
        <w:spacing w:line="600" w:lineRule="exact"/>
        <w:ind w:firstLine="640"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二、</w:t>
      </w:r>
      <w:r>
        <w:rPr>
          <w:rFonts w:hint="eastAsia" w:ascii="Times New Roman" w:hAnsi="Times New Roman" w:eastAsia="仿宋_GB2312" w:cs="Times New Roman"/>
          <w:sz w:val="32"/>
          <w:szCs w:val="32"/>
        </w:rPr>
        <w:t>2024年度怀化市公安局交通警察支队专项资金绩效自评报告。</w:t>
      </w: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hakuyoxingshu7000"/>
    <w:panose1 w:val="00000000000000000000"/>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D98SzkFgIAABUEAAAOAAAAAAAA&#10;AAEAIAAAAB8BAABkcnMvZTJvRG9jLnhtbFBLBQYAAAAABgAGAFkBAACn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9200DE9"/>
    <w:multiLevelType w:val="singleLevel"/>
    <w:tmpl w:val="A9200DE9"/>
    <w:lvl w:ilvl="0" w:tentative="0">
      <w:start w:val="1"/>
      <w:numFmt w:val="chineseCounting"/>
      <w:suff w:val="nothing"/>
      <w:lvlText w:val="（%1）"/>
      <w:lvlJc w:val="left"/>
      <w:rPr>
        <w:rFonts w:hint="eastAsia"/>
      </w:rPr>
    </w:lvl>
  </w:abstractNum>
  <w:abstractNum w:abstractNumId="1">
    <w:nsid w:val="2BF8CA61"/>
    <w:multiLevelType w:val="singleLevel"/>
    <w:tmpl w:val="2BF8CA61"/>
    <w:lvl w:ilvl="0" w:tentative="0">
      <w:start w:val="9"/>
      <w:numFmt w:val="chineseCounting"/>
      <w:suff w:val="nothing"/>
      <w:lvlText w:val="%1、"/>
      <w:lvlJc w:val="left"/>
      <w:pPr>
        <w:ind w:left="-1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1214A"/>
    <w:rsid w:val="0002229B"/>
    <w:rsid w:val="000273BD"/>
    <w:rsid w:val="0003620C"/>
    <w:rsid w:val="00040CBC"/>
    <w:rsid w:val="000415B7"/>
    <w:rsid w:val="00041E3F"/>
    <w:rsid w:val="00055DAA"/>
    <w:rsid w:val="00061F7B"/>
    <w:rsid w:val="000658A3"/>
    <w:rsid w:val="00074155"/>
    <w:rsid w:val="00080785"/>
    <w:rsid w:val="000A26F8"/>
    <w:rsid w:val="000A3F69"/>
    <w:rsid w:val="000B20F1"/>
    <w:rsid w:val="000C5742"/>
    <w:rsid w:val="000E4079"/>
    <w:rsid w:val="00103957"/>
    <w:rsid w:val="00152C6D"/>
    <w:rsid w:val="00162D39"/>
    <w:rsid w:val="001678BD"/>
    <w:rsid w:val="00180596"/>
    <w:rsid w:val="00182373"/>
    <w:rsid w:val="001947B4"/>
    <w:rsid w:val="001A67DB"/>
    <w:rsid w:val="001B67D1"/>
    <w:rsid w:val="001C3C29"/>
    <w:rsid w:val="001D2B79"/>
    <w:rsid w:val="001D51E5"/>
    <w:rsid w:val="001E080D"/>
    <w:rsid w:val="001E53D0"/>
    <w:rsid w:val="001F0C3B"/>
    <w:rsid w:val="00202C82"/>
    <w:rsid w:val="00214427"/>
    <w:rsid w:val="00220689"/>
    <w:rsid w:val="00221AFD"/>
    <w:rsid w:val="00221FE1"/>
    <w:rsid w:val="00226CB7"/>
    <w:rsid w:val="00235C3A"/>
    <w:rsid w:val="00252450"/>
    <w:rsid w:val="00264552"/>
    <w:rsid w:val="00264EF9"/>
    <w:rsid w:val="00265724"/>
    <w:rsid w:val="0027426B"/>
    <w:rsid w:val="00296D60"/>
    <w:rsid w:val="002E0A30"/>
    <w:rsid w:val="0030077D"/>
    <w:rsid w:val="003130C4"/>
    <w:rsid w:val="0031609D"/>
    <w:rsid w:val="00316C4B"/>
    <w:rsid w:val="0032192B"/>
    <w:rsid w:val="0033283E"/>
    <w:rsid w:val="00341B06"/>
    <w:rsid w:val="003479BD"/>
    <w:rsid w:val="003676B5"/>
    <w:rsid w:val="0037197D"/>
    <w:rsid w:val="003768D5"/>
    <w:rsid w:val="003926B9"/>
    <w:rsid w:val="003C2E17"/>
    <w:rsid w:val="003C47E6"/>
    <w:rsid w:val="003C4FC2"/>
    <w:rsid w:val="00401F9A"/>
    <w:rsid w:val="004065DD"/>
    <w:rsid w:val="00416E61"/>
    <w:rsid w:val="0042790C"/>
    <w:rsid w:val="004506F9"/>
    <w:rsid w:val="00462315"/>
    <w:rsid w:val="004644CE"/>
    <w:rsid w:val="004717A2"/>
    <w:rsid w:val="00473DF3"/>
    <w:rsid w:val="00481BB6"/>
    <w:rsid w:val="00487911"/>
    <w:rsid w:val="00490F48"/>
    <w:rsid w:val="00491741"/>
    <w:rsid w:val="004B0CEE"/>
    <w:rsid w:val="004C2A0A"/>
    <w:rsid w:val="004F5EFB"/>
    <w:rsid w:val="00500E5F"/>
    <w:rsid w:val="005122EF"/>
    <w:rsid w:val="0051441A"/>
    <w:rsid w:val="00517C33"/>
    <w:rsid w:val="00517D5F"/>
    <w:rsid w:val="00517E9C"/>
    <w:rsid w:val="00523644"/>
    <w:rsid w:val="0054069E"/>
    <w:rsid w:val="00544866"/>
    <w:rsid w:val="00552A3D"/>
    <w:rsid w:val="00574CC8"/>
    <w:rsid w:val="005767CC"/>
    <w:rsid w:val="00583B64"/>
    <w:rsid w:val="00590D9F"/>
    <w:rsid w:val="00595D26"/>
    <w:rsid w:val="005A74E6"/>
    <w:rsid w:val="005B404E"/>
    <w:rsid w:val="005D3908"/>
    <w:rsid w:val="005D4D55"/>
    <w:rsid w:val="005E0320"/>
    <w:rsid w:val="005E0E6C"/>
    <w:rsid w:val="005E2CFB"/>
    <w:rsid w:val="005E56D6"/>
    <w:rsid w:val="005F2103"/>
    <w:rsid w:val="005F3D1C"/>
    <w:rsid w:val="005F4189"/>
    <w:rsid w:val="00613520"/>
    <w:rsid w:val="006171EE"/>
    <w:rsid w:val="0062378F"/>
    <w:rsid w:val="00641842"/>
    <w:rsid w:val="00651EEC"/>
    <w:rsid w:val="00686673"/>
    <w:rsid w:val="00691E8C"/>
    <w:rsid w:val="00693CEE"/>
    <w:rsid w:val="006A22C4"/>
    <w:rsid w:val="006A351B"/>
    <w:rsid w:val="006B0422"/>
    <w:rsid w:val="006C1B53"/>
    <w:rsid w:val="006C595A"/>
    <w:rsid w:val="006D7730"/>
    <w:rsid w:val="006E3008"/>
    <w:rsid w:val="006E5284"/>
    <w:rsid w:val="006F3EB5"/>
    <w:rsid w:val="006F56C8"/>
    <w:rsid w:val="006F679C"/>
    <w:rsid w:val="00702E34"/>
    <w:rsid w:val="00704395"/>
    <w:rsid w:val="00710FE7"/>
    <w:rsid w:val="00717621"/>
    <w:rsid w:val="00720FF1"/>
    <w:rsid w:val="00727A53"/>
    <w:rsid w:val="007502DE"/>
    <w:rsid w:val="007862BD"/>
    <w:rsid w:val="00787B42"/>
    <w:rsid w:val="00794111"/>
    <w:rsid w:val="007A1E2E"/>
    <w:rsid w:val="007B230E"/>
    <w:rsid w:val="007C4539"/>
    <w:rsid w:val="007F3657"/>
    <w:rsid w:val="00810F0C"/>
    <w:rsid w:val="00811AA2"/>
    <w:rsid w:val="00812ED5"/>
    <w:rsid w:val="008277D9"/>
    <w:rsid w:val="0084478C"/>
    <w:rsid w:val="0086638C"/>
    <w:rsid w:val="008764FA"/>
    <w:rsid w:val="00883980"/>
    <w:rsid w:val="00885A88"/>
    <w:rsid w:val="008A1079"/>
    <w:rsid w:val="008A3E8D"/>
    <w:rsid w:val="008A5055"/>
    <w:rsid w:val="008D17F4"/>
    <w:rsid w:val="009237C4"/>
    <w:rsid w:val="00944C48"/>
    <w:rsid w:val="00950252"/>
    <w:rsid w:val="00967F5D"/>
    <w:rsid w:val="00987E22"/>
    <w:rsid w:val="00992150"/>
    <w:rsid w:val="009A0F95"/>
    <w:rsid w:val="009A6653"/>
    <w:rsid w:val="009B3ADF"/>
    <w:rsid w:val="009C31C5"/>
    <w:rsid w:val="009C3B52"/>
    <w:rsid w:val="009E6817"/>
    <w:rsid w:val="009E6E9A"/>
    <w:rsid w:val="009F7225"/>
    <w:rsid w:val="00A01D2B"/>
    <w:rsid w:val="00A1392A"/>
    <w:rsid w:val="00A30D46"/>
    <w:rsid w:val="00A42218"/>
    <w:rsid w:val="00A70249"/>
    <w:rsid w:val="00A70B02"/>
    <w:rsid w:val="00A71D9F"/>
    <w:rsid w:val="00A928EF"/>
    <w:rsid w:val="00A92E9F"/>
    <w:rsid w:val="00A94B43"/>
    <w:rsid w:val="00AA77DA"/>
    <w:rsid w:val="00AB18FF"/>
    <w:rsid w:val="00B26269"/>
    <w:rsid w:val="00B30A2E"/>
    <w:rsid w:val="00B33BEA"/>
    <w:rsid w:val="00B57C9F"/>
    <w:rsid w:val="00B63572"/>
    <w:rsid w:val="00B6363A"/>
    <w:rsid w:val="00B845B3"/>
    <w:rsid w:val="00B85D8B"/>
    <w:rsid w:val="00BB4A40"/>
    <w:rsid w:val="00BD6022"/>
    <w:rsid w:val="00BD6C3E"/>
    <w:rsid w:val="00BE3674"/>
    <w:rsid w:val="00C10681"/>
    <w:rsid w:val="00C10822"/>
    <w:rsid w:val="00C15C89"/>
    <w:rsid w:val="00C27C0D"/>
    <w:rsid w:val="00C3049A"/>
    <w:rsid w:val="00C31B1E"/>
    <w:rsid w:val="00C32F2E"/>
    <w:rsid w:val="00C40AE3"/>
    <w:rsid w:val="00C53A02"/>
    <w:rsid w:val="00C646BB"/>
    <w:rsid w:val="00C73888"/>
    <w:rsid w:val="00C77645"/>
    <w:rsid w:val="00C8004B"/>
    <w:rsid w:val="00CD643D"/>
    <w:rsid w:val="00CE04C3"/>
    <w:rsid w:val="00CE34BE"/>
    <w:rsid w:val="00CE6752"/>
    <w:rsid w:val="00CE76A0"/>
    <w:rsid w:val="00D148C6"/>
    <w:rsid w:val="00D17A8A"/>
    <w:rsid w:val="00D269E0"/>
    <w:rsid w:val="00D30C50"/>
    <w:rsid w:val="00D415BA"/>
    <w:rsid w:val="00D63780"/>
    <w:rsid w:val="00D644EE"/>
    <w:rsid w:val="00DC42A3"/>
    <w:rsid w:val="00DD06FF"/>
    <w:rsid w:val="00DD5FE9"/>
    <w:rsid w:val="00E00C7A"/>
    <w:rsid w:val="00E37D6C"/>
    <w:rsid w:val="00E41DEC"/>
    <w:rsid w:val="00E55B68"/>
    <w:rsid w:val="00E561AE"/>
    <w:rsid w:val="00E67BE6"/>
    <w:rsid w:val="00E8683C"/>
    <w:rsid w:val="00E96650"/>
    <w:rsid w:val="00EA2B72"/>
    <w:rsid w:val="00F17367"/>
    <w:rsid w:val="00F74360"/>
    <w:rsid w:val="00F77A77"/>
    <w:rsid w:val="00FB462F"/>
    <w:rsid w:val="00FB53FF"/>
    <w:rsid w:val="00FD58EE"/>
    <w:rsid w:val="00FE16FA"/>
    <w:rsid w:val="00FE328A"/>
    <w:rsid w:val="00FE6269"/>
    <w:rsid w:val="00FF5CD6"/>
    <w:rsid w:val="1D97DEFF"/>
    <w:rsid w:val="1DFF72E5"/>
    <w:rsid w:val="1EFC6F07"/>
    <w:rsid w:val="2FDF85B8"/>
    <w:rsid w:val="2FFFEE04"/>
    <w:rsid w:val="34DF85B0"/>
    <w:rsid w:val="3B8F36BC"/>
    <w:rsid w:val="491FF225"/>
    <w:rsid w:val="4FFD214C"/>
    <w:rsid w:val="510C4660"/>
    <w:rsid w:val="5777D4F5"/>
    <w:rsid w:val="59DD8326"/>
    <w:rsid w:val="5DEF592A"/>
    <w:rsid w:val="5FC6BB1E"/>
    <w:rsid w:val="5FF720F1"/>
    <w:rsid w:val="67FF5C0B"/>
    <w:rsid w:val="6EFC0924"/>
    <w:rsid w:val="6FB74722"/>
    <w:rsid w:val="6FEF8B7E"/>
    <w:rsid w:val="71A6591B"/>
    <w:rsid w:val="737D59BA"/>
    <w:rsid w:val="77C37683"/>
    <w:rsid w:val="79D19834"/>
    <w:rsid w:val="79FF515B"/>
    <w:rsid w:val="7B11525F"/>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Pages>
  <Words>3003</Words>
  <Characters>4384</Characters>
  <Lines>113</Lines>
  <Paragraphs>31</Paragraphs>
  <TotalTime>17</TotalTime>
  <ScaleCrop>false</ScaleCrop>
  <LinksUpToDate>false</LinksUpToDate>
  <CharactersWithSpaces>4536</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2025-09-15T02:24:00Z</dcterms:created>
  <dc:creator>李航 null</dc:creator>
  <cp:lastModifiedBy>Administrator</cp:lastModifiedBy>
  <cp:lastPrinted>2024-08-08T18:20:00Z</cp:lastPrinted>
  <dcterms:modified xsi:type="dcterms:W3CDTF">2025-09-30T08:10:14Z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BB7B6AA21D207914D6FDA268992A22D6</vt:lpwstr>
  </property>
  <property fmtid="{D5CDD505-2E9C-101B-9397-08002B2CF9AE}" pid="4" name="KSOTemplateDocerSaveRecord">
    <vt:lpwstr>eyJoZGlkIjoiZjE3MTIyNmRmYWRiMzY2ODlmZjg5NDBkMTgxMDk5MWYiLCJ1c2VySWQiOiI1NTY1NjUzNzQifQ==</vt:lpwstr>
  </property>
</Properties>
</file>