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t>2021年度怀化市商务</w:t>
      </w:r>
      <w:bookmarkStart w:id="0" w:name="_GoBack"/>
      <w:bookmarkEnd w:id="0"/>
      <w:r>
        <w:t>局整体支出绩效</w:t>
      </w:r>
    </w:p>
    <w:p>
      <w:pPr>
        <w:pStyle w:val="2"/>
        <w:bidi w:val="0"/>
        <w:jc w:val="center"/>
      </w:pPr>
      <w:r>
        <w:t>自评报告</w:t>
      </w:r>
    </w:p>
    <w:p>
      <w:pPr>
        <w:pStyle w:val="3"/>
        <w:bidi w:val="0"/>
      </w:pPr>
      <w:r>
        <w:rPr>
          <w:rFonts w:hint="eastAsia"/>
        </w:rPr>
        <w:t> 一、部门概况    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（一）部门基本情况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1.在职人员及机构情况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怀化市商务局（以下简称我局）为正处级行政单位，2021年年初编制预算人数为74人，其中在职行政编制29人，工勤编制4人，全额事业财政拨款编制41人；年末实有在职人员74人，另有自收自支3人，其中，年末纳入一般公共预算财政拨款开支人员71人，经费自理人员3人。离退休人员共129人。内设科室为:办公室、财务审计科、政策法规和市场秩序科、市场运行和消费促进科、市场体系建设科、服务贸易和商贸服务业科、流通业发展科、口岸科、电子商务科、对外贸易科、投资管理和对外经济合作科、改革推进科，人事科（离退休人员管理服务科）、机关党委等。下设2个非独立核算二级单位：怀化市投资促进事务中心和怀化市商务服务中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2.部门主要职能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贯彻执行国家国内外贸易、国际经济合作和区域经济合作的发展战略、政策，起草我市国内外贸易、招商引资、承接产业转移、对外援助、对外投资和对外经济合作的地方性法规及规章草案、政策措施和实施办法，研究经济全球化、区域经济合作、现代流通方式的发展趋势和流通体制改革并提出建议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负责推进流通产业结构调整，指导流通企业改革，促进商贸服务业和社区商业发展，提出促进中小商贸企业发展的政策建议，推动流通标准化和连锁经营、商业特许经营、物流配送、电子商务等现代流通方式的发展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拟订全市国内贸易发展规划，促进城乡市场发展，研究提出引导国内外资金投向市场体系建设的政策建议，指导大宗产品批发市场规划和城市商业网点规划、商业体系建设工作，推进农村市场体系建设，组织实施农村现代流通网络工程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承担牵头协调整顿和规范市场经济秩序工作的责任，拟订规范市场秩序的政策；推动商务领域信用建设，指导商业信用销售，建立市场诚信公共服务平台；按有关规定对特殊流通行业进行监督管理。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承担组织实施重要消费品市场调控和重要生产资料（成品油）流通管理的责任，监测分析重要消费品的市场运行、商品供求状况，调查分析重要消费品价格信息，进行预测预警和信息引导；按分工负责重要消费品（肉类、边销茶、小包装食品等）储备管理和市场调控工作；按有关规定对成品油流通进行监督管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贯彻执行国家进出口商品、加工贸易管理办法和进出口管理商品、技术目录，拟订促进外贸增长方式转变的政策措施，组织实施重要工业品、原材料和重要农产品进出口总量计划，会同有关部门协调大宗商品的进出口，指导贸易促进活动和外贸促进体系建设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贯彻执行国家对外技术贸易、出口管制以及鼓励技术和成套设备进出口的贸易政策，推进进出口贸易标准化工作；依法监督技术引进、设备进口、国家限制出口技术的工作。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牵头拟订服务贸易发展规划并开展相关工作；会同有关部门制定促进服务出口、服务外包的规划、政策并组织实施，推动服务外包平台建设。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贯彻执行我国多双边(含区域、自由贸易区)经贸合作战略和政策，推进我市与其他国家(地区)的经贸往来与投资贸易合作；牵头承担全市商务领域涉及世界贸易组织事务的相关工作，负责对外经济贸易协调工作。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负责组织协调反倾销、反补贴、保障措施及其他与进出口公平贸易相关的工作，协助开展对外贸易调查和产业损害调查，指导协调产业安全应对工作。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指导和管理全市招商引资、投资促进和承接产业转移工作，拟订并组织实施招商引资和承接产业转移政策；依权限办理全市外商投资企业的审批和备案；指导国家级、省级经济技术开发区的有关工作。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拟订并组织实施对外经济合作政策；依法管理和监督对外承包工程、对外劳务合作等；拟订市内人员出境就业管理政策并组织实施，负责牵头外派劳务和境外就业人员的权益保护工作；拟订境外投资的管理办法和具体政策，指导市内企业对外投资开办企业(金融企业除外)按程序报批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贯彻执行国家对外援助政策和方案，协调管理全市承担的对外援助项目；协调管理多双边对我市的无偿援助和赠款(不含财政合作项下外国政府及国际金融组织的赠款)等发展合作业务。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贯彻执行国家对香港、澳门特别行政区和台湾地区的经贸规划、政策，指导我市对港、澳、台地区贸易和经贸合作活动，协调港、澳、台商投资管理工作。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承担会展业促进与管理有关工作。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负责全市对外开放口岸的规划、申报及有关审批工作；协调管理全市口岸工作，推动建立大通关机制。 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负责商贸行业安全生产监督管理工作。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完成市委、市政府交办的其他任务。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3.重点工作计划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1）坚持全面从严治党，全面加强党的建设；（2）围绕承接产业转移，强力推进招商引资；（3）放大开放平台作用，提升对外开放水平；（4）实施内贸提质工程，促进消费转型升级；（5）依法加强行业监管，全力维护市场秩序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（二）部门整体支出规模、使用方向和主要内容、涉及范围等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1.预算资金情况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2021年财政预算收入为3904.47万元，其中：市财政拨款3730.83万元，纳入预算管理的其他收入13.51万元，上年结转160.13万元。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2.整体支出使用范围、方向和内容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2021年财政预算我局整体支出3904.47万元，其中，工资福利支出1166.40万元，商品服务支出2503.58万元，对个人和家庭的补助支出214.88万元，资本性支出3.19万元，对企业补助支出14.74万元，其他支出0万元，年末结转结余1.68万元。</w:t>
      </w:r>
    </w:p>
    <w:p>
      <w:pPr>
        <w:pStyle w:val="3"/>
        <w:bidi w:val="0"/>
      </w:pPr>
      <w:r>
        <w:rPr>
          <w:rFonts w:hint="eastAsia"/>
        </w:rPr>
        <w:t>二、部门整体支出管理及使用情况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（一）基本支出使用管理情况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基本支出的范围和主要用途具体包括：基本支出1489.15万元（其中人员经费1314.76万元，日常公用经费172.80万元）。其中“三公”经费的使用和管理：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1.2021年“三公经费”预算情况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本局2021年“三公”经费预算金额为133.5万元，其中公务接待费120万元，公车运行维护费13.5万元，无因公出国出境费用预算。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2.“三公”经费预算执行情况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本局2021年度“三公”经费，实际支出公务接待费100.23万元，公车运行费10.77万元，合计111万元。公务接待费比2020年的82.07万元增加18.16万元，增幅22.13%，主要是招商引资任务加重，来怀客商和对外招商增加；公务用车维护费10.77万元，比2020年的9.09万元增加1.68万元，增幅18.48%，主要是招商引资任务加重，来怀客商增加、油价上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3.“三公经费”管理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公车管理实行定点维修、定点保险、加油卡制度等，规范公务用车运行；公务接待实施“接洽函--公务接待审批单--公务接待清单--菜单”流程管理，严控“接待次数、接待金额、陪同人数”标准。实行“部门预算”、“三公经费”预算、“政府采购”预算公开制度，有效控制基本支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（二）专项支出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1.专项资金安排落实、总投入情况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2021年度我局在省、市政府的支持下，投入专项资金2413.64万元，主要项目资金情况见下表：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 财政专项资金安排情况表</w:t>
      </w:r>
    </w:p>
    <w:tbl>
      <w:tblPr>
        <w:tblW w:w="0" w:type="auto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34"/>
        <w:gridCol w:w="1854"/>
        <w:gridCol w:w="3234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项  目  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金 额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（万元）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备 注 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1、驻点及产业招商专项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542.24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八大产业链、六大驻点合计开支，含上年结转资金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2、健康产业博览会专项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0.59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受疫情影响，2021年健博会延期举办，当年未举办。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3、内贸流通专项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12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4、招商引资专项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132.33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 含上年结转资金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5、中国食品餐饮博览会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28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6、市场监测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45.89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 省级资金,含结转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7、限上企业培育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1.56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省级资金，含结转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8、进口博览会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7.92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省级资金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9、两新党建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11.83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10、商贸物流规划编制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8.51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11、电子商务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11.89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12、中非博览会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35.73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13、美食季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40.42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14、两稳一促考核奖励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32.73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省级资金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15、步步高中环广场拆迁项目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1502.02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 政府性基金预算财政拨款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  <w:jc w:val="center"/>
        </w:trPr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合计  </w:t>
            </w:r>
          </w:p>
        </w:tc>
        <w:tc>
          <w:tcPr>
            <w:tcW w:w="198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2413.64　</w:t>
            </w:r>
          </w:p>
        </w:tc>
        <w:tc>
          <w:tcPr>
            <w:tcW w:w="360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10" w:lineRule="atLeast"/>
              <w:ind w:left="0" w:right="0" w:firstLine="0"/>
              <w:jc w:val="both"/>
              <w:rPr>
                <w:color w:val="3D3D3D"/>
                <w:sz w:val="28"/>
                <w:szCs w:val="28"/>
              </w:rPr>
            </w:pPr>
            <w:r>
              <w:rPr>
                <w:color w:val="3D3D3D"/>
                <w:sz w:val="28"/>
                <w:szCs w:val="28"/>
                <w:bdr w:val="none" w:color="auto" w:sz="0" w:space="0"/>
              </w:rPr>
              <w:t> 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 2.专项资金实际使用情况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2021年专项资金实际使用2413.64万元，支出完成率100%。使用资金主要集中在步步高中环广场拆迁项目、驻点和产业招商、招商引资、中非博览会、中国食品餐饮博览会、等方面。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3.专项资金管理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为加强专项项目管理，提高专项资金的使用效率，我局根据怀化市市本级专项资金管理办法就重点专项项目制定了《财务管理制度》、《专项业务资金管理办法》。专项资金的使用、管理严格按制度执行，大额资金支出实行“三重一大”集体决策机制，项目招标、评审、结算按市政府采购办、评审办、市国库集中支付核算局、市财政局外经科的要求进行，确保资金使用公开、公正、科学、高效，专款专用、不被挤占、挪用、借用或随意调整，实行报账制管理等原则执行。</w:t>
      </w:r>
    </w:p>
    <w:p>
      <w:pPr>
        <w:pStyle w:val="3"/>
        <w:bidi w:val="0"/>
      </w:pPr>
      <w:r>
        <w:rPr>
          <w:rFonts w:hint="eastAsia"/>
        </w:rPr>
        <w:t>三、部门专项组织实施情况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（一）专项组织情况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产业和驻点招商专项按照怀政办函〔2018〕76号文件，由我市5个产业招商组和6个驻点招商点承办实施;其他专项分别由相关业务科室和二级机构承办实施。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（二）专项管理情况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2021年武陵山健康产业博览会和2021中国食品餐饮博览会、美食季等由服务贸易和商贸服务业科承办实施；2021年招商引资（含产业和驻点招商）工作、港洽周活动由投资促进事务中心以及5个产业组和6个驻点招商点分别承办实施;步步高中环广场拆迁项目由市场体系建设科承办实施；中非博览会由外资外经科承办实施；市场监测、限上企业培育由市场运行科承办实施；各管理科室和承办实施部门严格按照相关控制体系要求实施项目。</w:t>
      </w:r>
    </w:p>
    <w:p>
      <w:pPr>
        <w:pStyle w:val="3"/>
        <w:bidi w:val="0"/>
      </w:pPr>
      <w:r>
        <w:rPr>
          <w:rFonts w:hint="eastAsia"/>
        </w:rPr>
        <w:t>四、资产管理情况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固定资产、办公家具和办公用品严格按照《资产管理办法》和《政府采购预算》进行配置和处置，按计划购置办公用品。2021年资产配置3.19万元，其中中央优质粮油工程7.87万元，办公空调及电脑资产2.92万元。严格按照资产处置规定、程序处置固定资产，建立了固定资产和办公用品采购、审批、使用、稽核等内部管理制度。</w:t>
      </w:r>
    </w:p>
    <w:p>
      <w:pPr>
        <w:pStyle w:val="3"/>
        <w:bidi w:val="0"/>
      </w:pPr>
      <w:r>
        <w:rPr>
          <w:rFonts w:hint="eastAsia"/>
        </w:rPr>
        <w:t>五、部门整体支出绩效情况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根据部门整体支出绩效评价指标体系，2021年度自评得分为89分。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（一）经济性分析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1.预算配置控制较好。财政供养人员控制在预算编制以内，编制内在职人员控制率100%，未超过控制标准；“三公经费”预算总额为133.5万元，实际支出111万元。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 2.市财政对2021年驻点和产业招商、中非博览会、美食季等重点工作安排资金2413.64万元，保障了专项重点工作的有序开展。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3.预算执行与管理。2021年财政预算收入为3904.47万元，其中：市财政拨款3730.83万元，纳入预算管理的其他收入13.51万元，上年结转160.13万元。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（二）有效性和效率性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2021年，在市委、市政府的坚强领导和省商务厅的关心支持下，市商务局全力推动商务和开放型经济取得新发展，圆满完成各项工作任务。我局荣获省政府真抓实干成效明显地区激励措施表彰（连续四年获此殊荣）、全省商务（口岸）工作先进单位、全市人大建议案办理优秀单位、全市安全生产工作先进单位、全市民族团结进步模范集体等多项荣誉称号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全年共引进产业项目211个、总投资943.31亿元，其中“三类500强”项目30个、总投资199.7亿元。全市实际到位省外境内资金538亿元，同比增长32.8%。全年完成外贸进出口额19.85亿元、同比增长37.2%。全年新设外商投资企业12家、内资转外资企业2家，新增合同外资5542万美元、同比增长48%。实际利用外资2225万美元、同比增长11.3%，实现了5个县市、6个园区外资破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（三）可持续性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因得到财政资金的有力支持，我局各项工作得以顺利开展。2022年，我局将在已经取得的工作成效上全力争取省商务厅、省政府口岸办支持怀化对接西部陆海新通道项目资金，支持推动怀化国际陆港、怀化东盟物流产业园、怀化东盟货运集结中心建设；进一步大力开展招商引资，主攻长三角、成渝双城经济圈、粤港澳大湾区等重点区域，积极对接承接产业转移。实际到位省外境内资金增长15%，实际利用外资增长30%以上，力争新引进正威、格力、华为、三一重工等“三类500强”企业项目8个以上、2亿元以上重大项目70个以上；积极推进跨境电商等外贸新业态新模式发展，新培育跨境电商企业10家以上，跨境电商交易额达到3亿元以上；支持金升阳、奇力新、亚信电子等重点外贸企业扩大进出口业务，推动外贸企业“破零”30家以上、倍增20家以上，外贸实绩企业达到100家。积极组织参加进口博览会等重点国际性展会。境外投资额、对外承包工程营业额、外派劳务均增长20%以上；扎实开展城市一刻钟便民生活圈建设，完成规划编制和太平桥、火车站等15个一刻钟便民生活圈试点社区建设，着力提升居民幸福感、获得感。争创全国县域商业体系建设示范市。完成市城区3个农贸市场和其他县市区共13个农贸市场建设。大力培育新增限上企业50家、限上大个体60家、重点商贸服务企业20家。社会消费品零售总额增长10.5%以上推动内贸流通发展，构建形成强大消费市场。</w:t>
      </w:r>
    </w:p>
    <w:p>
      <w:pPr>
        <w:pStyle w:val="3"/>
        <w:bidi w:val="0"/>
        <w:rPr>
          <w:sz w:val="28"/>
          <w:szCs w:val="28"/>
        </w:rPr>
      </w:pPr>
      <w:r>
        <w:rPr>
          <w:rFonts w:hint="eastAsia"/>
          <w:sz w:val="28"/>
          <w:szCs w:val="28"/>
        </w:rPr>
        <w:t>六、存在的主要问题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（一）公用支出经费预算无法满足全年运转需要;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（二）在资金使用上存在离、退休人员等经费支出占用专项业务经费的情况。</w:t>
      </w:r>
    </w:p>
    <w:p>
      <w:pPr>
        <w:pStyle w:val="3"/>
        <w:bidi w:val="0"/>
        <w:rPr>
          <w:sz w:val="28"/>
          <w:szCs w:val="28"/>
        </w:rPr>
      </w:pPr>
      <w:r>
        <w:rPr>
          <w:rFonts w:hint="eastAsia"/>
          <w:sz w:val="28"/>
          <w:szCs w:val="28"/>
        </w:rPr>
        <w:t>七、改进措施和有关建议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（一）严格按照经济科目类款项支付，严控超范畴和超金额日常公用经费业务发生和支付。在日常预算管理过程中，进一步加强预算支出的审核、跟踪及预算执行情况分析。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（二）进一步加强对专项项目资金的使用管理。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510" w:lineRule="atLeast"/>
        <w:ind w:left="0" w:right="0" w:firstLine="420"/>
        <w:jc w:val="both"/>
        <w:rPr>
          <w:color w:val="3D3D3D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8"/>
          <w:szCs w:val="28"/>
          <w:bdr w:val="none" w:color="auto" w:sz="0" w:space="0"/>
        </w:rPr>
        <w:t>建议：市财政对离、退休人员较多的单位在经费安排上适当给予考虑。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NDU2Nzk4MDNlMDAzZjQ0ZWQwOTM0OTZkZGM3Y2MifQ=="/>
  </w:docVars>
  <w:rsids>
    <w:rsidRoot w:val="0DCF5CFD"/>
    <w:rsid w:val="0DC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2023-09-11T08:32:00Z</dcterms:created>
  <dc:creator>Z.</dc:creator>
  <cp:lastModifiedBy>Z.</cp:lastModifiedBy>
  <dcterms:modified xsi:type="dcterms:W3CDTF">2023-09-11T08:37:10Z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7E908007A4434D379ADCC29AD3064AA5_11</vt:lpwstr>
  </property>
</Properties>
</file>