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p>
    <w:p>
      <w:pPr>
        <w:jc w:val="center"/>
        <w:rPr>
          <w:rFonts w:hint="eastAsia"/>
        </w:rPr>
      </w:pPr>
    </w:p>
    <w:p>
      <w:pPr>
        <w:jc w:val="center"/>
        <w:rPr>
          <w:rFonts w:hint="eastAsia"/>
          <w:b/>
          <w:bCs/>
          <w:sz w:val="30"/>
          <w:szCs w:val="30"/>
        </w:rPr>
      </w:pPr>
      <w:r>
        <w:rPr>
          <w:rFonts w:hint="eastAsia"/>
          <w:b/>
          <w:bCs/>
          <w:sz w:val="30"/>
          <w:szCs w:val="30"/>
        </w:rPr>
        <w:t>怀化市统计局2021年度部门整体支出绩效评价报告</w:t>
      </w:r>
    </w:p>
    <w:p>
      <w:pPr>
        <w:rPr>
          <w:rFonts w:hint="eastAsia"/>
          <w:b/>
          <w:bCs/>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bookmarkStart w:id="0" w:name="_GoBack"/>
      <w:bookmarkEnd w:id="0"/>
      <w:r>
        <w:rPr>
          <w:rFonts w:hint="eastAsia" w:ascii="宋体" w:hAnsi="宋体" w:eastAsia="宋体" w:cs="宋体"/>
          <w:i w:val="0"/>
          <w:iCs w:val="0"/>
          <w:caps w:val="0"/>
          <w:color w:val="000000"/>
          <w:spacing w:val="0"/>
          <w:sz w:val="24"/>
          <w:szCs w:val="24"/>
          <w:bdr w:val="none" w:color="auto" w:sz="0" w:space="0"/>
        </w:rPr>
        <w:t>为进一步规范资金管理，强化绩效和责任意识，提高财政资金使用效益，根据《怀化市财政局关于开展2021年度部门整体支出 专项资金绩效自评工作的通知》（怀财绩〔2022〕51号）的文件精神，我局对部门整体支出进行了绩效评价，现报告如下：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一、部门概况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（一）部门基本情况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1、部门职能职责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（1）部门职责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根据怀政办发〔2015〕35号文件，市统计局工作职责如下：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①贯彻执行国家统计工作方针、政策和统计法律、法规，完成国家和省规定的统计调查任务，承担组织领导和协调全市统计工作，确保统计数据真实、准确、及时；检查监督统计法规的实施情况，查处各类统计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②组织实施全市及各县（市、区）国民经济核算制度和全市投入产出调查，核算全市及各县（市、区）国内生产总值，汇编提供国民经济核算资料，监督管理全市各县（市、区）国民经济核算工作。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③会同有关部门拟订重大市情市力普查计划与方案，组织实施全市人口、经济、农业等重大市情市力普查，汇总、整理和提供有关市情市力方面的统计数据。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④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⑤组织实施社会和经济发展密切相关的综合统计调查和提供统计数据，包括能源、投资、消费、价格、收入、科技、人口、劳动力、社会发展基本情况、环境基本状况、资源、房屋、对外贸易、对外经济等。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⑥组织各县（市、区）、各部门的经济、社会、科技和资源环境统计调查；统一核定、管理、公布全市性基本统计资料，定期发布全市国民经济和社会发展情况的统计信息。组织建立服务业统计信息管理制度、共享制度和发布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⑦对国民经济、社会发展、科技进步和资源环境等情况进行统计调查、统计分析、统计预测和统计监督。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⑧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⑨协助地方管理和考核县（市、区）统计局正副局长，指导全市统计专业技术队伍建设，会同有关部门组织管理全市统计专业资格考试、职务评聘和从业资格认定工作，指导全市统计科研、统计教育、统计宣传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⑩建立并管理全市统计信息自动化系统和统计数据库系统，组织制定各县（市、区）、市直各部门统计数据库和网络的基本标准和运行规则，指导全市统计信息化系统建设。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2、机构设置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根据怀编办〔2021〕40号文件，关于怀化市统计局所属事业单位机构编制事项调整：①整合怀化市农村经济调查队，怀化市社会经济调查队，组建怀化市统计局调查中心，为市统计局所属正科级公益一类事业单位，主要承担全市城乡经济调查，社会发展调查，人口抽样调查，全市社会、人口、劳动工资、科技、文化产业统计等职责，核定全额拨款事业编制13名，核定主任1名，副主任2名。②整和怀化市统计局普查中心、怀化市统计局民意调查中心，组建怀化市统计局普查和民调中心，为市统计局所属正科级公益一类事业单位，主要承担全市基本单位统计数据审核、名录库资料管理维护和名录资料的对外提供，全市社情民意调查等职责，核定全额拨款事业编制9名，核定主任1名、副主任2名。③怀化市电子计算站更名为怀化市统计局数据中心，为市统计局所属正科级公益一类事业单位，主要承担重大国情国力调查、普查的数据处理任务，全市统计网络和信息化建设等职责，核定全额拨款事业编制8名，核定主任1名、副主任2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怀化市统计局是市人民政府组成单位，内设办公室、行政审批服务科、国民经济核算与综合统计科、工业与能源统计科、农业与固定资产投资统计科、贸易与服务业统计科6个科室；下设怀化市统计局调查中心、怀化市统计局普查和民调中心、怀化市统计局数据中心3个二级事业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3、人员编制情况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全局编制48人，其中行政编制17人，机关工勤编制1人，事业编制30人。2021年年末实有在职人数48人。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4、重点工作计划：2021年第七次全国人口普查依然有大量的工作：如数据汇总，改错，质量抽查等，并且做好第七次全国人口普查的数据开发工作，为党委、政府出台相关人口政策出谋划策。贯彻落实中央、省、市对提升统计数据质量的决策部署，层层分解数据质量提升责任，推动形成抓实数据质量的有效合力。狠抓统计监督检查，依法查处统计造假、弄虚作假违法违纪行为，持续推进全市统计工作“五查五看”专项行动全面铺开。持续做好全市综合治理民意调查，扩大生态环境公众满意度民意调查范围，扎实部署开展新增的全市基本公共服务满意度民意调查，进一步提升工作质量，搭好政府与公众沟通交流平台。对全市统计系统进行工作实务和统计执法培训，不断提高统计人员的业务知识、执法能力和服务水平；加强基础知识测评，有效提高业务人员理论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（二）部门整体支出规模、使用方向和主要内容、涉及范围等。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2021年部门整体支出1065.53万元，基本支出684.01万元，其中：工资福利支出556.9万元，商品和服务类支出53.21万元，对个人和家庭的补助73.9万元；项目支出381.51万元。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二、部门整体支出管理及使用情况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（一）基本支出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基本支出系保障我局机构正常运转、完成日常工作任务而发生的各项支出，包括用于在职人员基本工资、津补贴等人员经费以及办公费、印刷费、水电费、办公设备购置等日常公用经费。2021年基本支出684.01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1.工资福利支出556.9万元，主要包括在职人员工资、津补贴、政策规定奖金、伙食补助、绩效工资、基本养老保险、职业年金、基本医疗保险、生育基金、工伤保险和住房公积金、其他工资福利支出等支出。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2.商品和服务支出53.21万元。包括日常运行正常的办公费、印刷费、水电费、邮电费、物业管理费、差旅费、维修（护）费、租赁费、 会议费、培训费、“三公经费”、劳务费、委托业务费、工会经费、职工福利费、其他交通费、其他商品服务支出等。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3.对个人和家庭补助支出73.9万元。主要包括退休人员退休费、抚恤金、生活补助费、奖励金、其他对个人和家庭的补助等支出。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（二）“三公”经费的使用和管理情况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按照怀化市委办公室、市政府办公室《关于党政机关国内公务接待管理实施细则（试行）》（怀办发〔2014〕5号）及怀化市财政局、机关事务管理局《关于明确市直党政机关公务活动用餐事项的通知》（怀财行〔2018〕156号）等相关文件精神，坚持有利公务、务实节俭、严格标准、简化礼仪、高效透明、尊重少数民族风俗习惯原则管理公务接待工作。明确招待用餐档次和标准，要求出具公务接待公函、公务接待审批单、公务接待清单、消费明细单、消费正式发票、公务卡刷卡单等单据方可报销公务接待费，并由专人负责管理安排。制定《怀化市统计局公务用车管理办法》，局机关公务用车辆由办公室明确一名车辆专管人员管理。车辆专管员必须保持24小时手机畅通，负责公务用车调度、公务用车档案建立和更新、车辆维护等日常工作。对单位公务用车的使用、管理、维修保养、安全检查及司勤人员的管理都做了明确的规定。公务出行严格实行派车登记审批制度，严格执行公务用车定点停放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“三公”经费年初预算数7.43万元，决算支出数3.51万元，占预算控制数的47.2%，其中发生“公务用车运行维护费”3.15万元，发生“公务接待费”0.36万元，因公出国（境）费预算为0万元，支出0元，控制良好。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（三）专项支出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专项支出系我局为完成全市统计专项工作而发生的支出，包括专项业务工作经费、业务运行维护费和专项项目资金。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1、专项资金安排落实、总投入等情况分析。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2021年初省财政、市本级财政及上年结转结余安排专项项目资金387.78万元。专项业务工作经费主要用于统计局常规工作，依据国家下发的统计报表制度，负责完成国家统计局及市委市政府布置的各项统计调查任务，涉及国民经济核算、农业、工业、贸易业、运输业、建筑业、服务业等统计工作的各个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专项项目年初预算总投入汇总表</w:t>
      </w:r>
    </w:p>
    <w:tbl>
      <w:tblPr>
        <w:tblW w:w="0" w:type="auto"/>
        <w:tblInd w:w="0" w:type="dxa"/>
        <w:tblBorders>
          <w:top w:val="dotted" w:color="D3D3D3" w:sz="6" w:space="0"/>
          <w:left w:val="dotted" w:color="D3D3D3" w:sz="6" w:space="0"/>
          <w:bottom w:val="dotted" w:color="D3D3D3" w:sz="6" w:space="0"/>
          <w:right w:val="dotted" w:color="D3D3D3" w:sz="6" w:space="0"/>
          <w:insideH w:val="outset" w:color="000000" w:sz="6" w:space="0"/>
          <w:insideV w:val="outset" w:color="000000" w:sz="6" w:space="0"/>
        </w:tblBorders>
        <w:shd w:val="clear"/>
        <w:tblLayout w:type="autofit"/>
        <w:tblCellMar>
          <w:top w:w="30" w:type="dxa"/>
          <w:left w:w="30" w:type="dxa"/>
          <w:bottom w:w="30" w:type="dxa"/>
          <w:right w:w="30" w:type="dxa"/>
        </w:tblCellMar>
      </w:tblPr>
      <w:tblGrid>
        <w:gridCol w:w="2340"/>
        <w:gridCol w:w="3600"/>
        <w:gridCol w:w="2415"/>
      </w:tblGrid>
      <w:tr>
        <w:tblPrEx>
          <w:tblBorders>
            <w:top w:val="dotted" w:color="D3D3D3" w:sz="6" w:space="0"/>
            <w:left w:val="dotted" w:color="D3D3D3" w:sz="6" w:space="0"/>
            <w:bottom w:val="dotted" w:color="D3D3D3" w:sz="6" w:space="0"/>
            <w:right w:val="dotted" w:color="D3D3D3" w:sz="6" w:space="0"/>
            <w:insideH w:val="outset" w:color="000000" w:sz="6" w:space="0"/>
            <w:insideV w:val="outset" w:color="000000" w:sz="6" w:space="0"/>
          </w:tblBorders>
          <w:shd w:val="clear"/>
          <w:tblCellMar>
            <w:top w:w="30" w:type="dxa"/>
            <w:left w:w="30" w:type="dxa"/>
            <w:bottom w:w="30" w:type="dxa"/>
            <w:right w:w="30" w:type="dxa"/>
          </w:tblCellMar>
        </w:tblPrEx>
        <w:tc>
          <w:tcPr>
            <w:tcW w:w="234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单位名称</w:t>
            </w:r>
          </w:p>
        </w:tc>
        <w:tc>
          <w:tcPr>
            <w:tcW w:w="360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项目支出(专项)名称</w:t>
            </w:r>
          </w:p>
        </w:tc>
        <w:tc>
          <w:tcPr>
            <w:tcW w:w="2415"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资金金额(万元)</w:t>
            </w:r>
          </w:p>
        </w:tc>
      </w:tr>
      <w:tr>
        <w:tblPrEx>
          <w:tblBorders>
            <w:top w:val="dotted" w:color="D3D3D3" w:sz="6" w:space="0"/>
            <w:left w:val="dotted" w:color="D3D3D3" w:sz="6" w:space="0"/>
            <w:bottom w:val="dotted" w:color="D3D3D3" w:sz="6" w:space="0"/>
            <w:right w:val="dotted" w:color="D3D3D3" w:sz="6" w:space="0"/>
            <w:insideH w:val="outset" w:color="000000" w:sz="6" w:space="0"/>
            <w:insideV w:val="outset" w:color="000000" w:sz="6" w:space="0"/>
          </w:tblBorders>
          <w:tblCellMar>
            <w:top w:w="30" w:type="dxa"/>
            <w:left w:w="30" w:type="dxa"/>
            <w:bottom w:w="30" w:type="dxa"/>
            <w:right w:w="30" w:type="dxa"/>
          </w:tblCellMar>
        </w:tblPrEx>
        <w:tc>
          <w:tcPr>
            <w:tcW w:w="234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合计</w:t>
            </w:r>
          </w:p>
        </w:tc>
        <w:tc>
          <w:tcPr>
            <w:tcW w:w="360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 </w:t>
            </w:r>
          </w:p>
        </w:tc>
        <w:tc>
          <w:tcPr>
            <w:tcW w:w="2415"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387.78</w:t>
            </w:r>
          </w:p>
        </w:tc>
      </w:tr>
      <w:tr>
        <w:tblPrEx>
          <w:tblBorders>
            <w:top w:val="dotted" w:color="D3D3D3" w:sz="6" w:space="0"/>
            <w:left w:val="dotted" w:color="D3D3D3" w:sz="6" w:space="0"/>
            <w:bottom w:val="dotted" w:color="D3D3D3" w:sz="6" w:space="0"/>
            <w:right w:val="dotted" w:color="D3D3D3" w:sz="6" w:space="0"/>
            <w:insideH w:val="outset" w:color="000000" w:sz="6" w:space="0"/>
            <w:insideV w:val="outset" w:color="000000" w:sz="6" w:space="0"/>
          </w:tblBorders>
          <w:tblCellMar>
            <w:top w:w="30" w:type="dxa"/>
            <w:left w:w="30" w:type="dxa"/>
            <w:bottom w:w="30" w:type="dxa"/>
            <w:right w:w="30" w:type="dxa"/>
          </w:tblCellMar>
        </w:tblPrEx>
        <w:tc>
          <w:tcPr>
            <w:tcW w:w="2340" w:type="dxa"/>
            <w:vMerge w:val="restart"/>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怀化市统计局</w:t>
            </w:r>
          </w:p>
        </w:tc>
        <w:tc>
          <w:tcPr>
            <w:tcW w:w="360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行政运行</w:t>
            </w:r>
          </w:p>
        </w:tc>
        <w:tc>
          <w:tcPr>
            <w:tcW w:w="2415"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26.9</w:t>
            </w:r>
          </w:p>
        </w:tc>
      </w:tr>
      <w:tr>
        <w:tblPrEx>
          <w:tblBorders>
            <w:top w:val="dotted" w:color="D3D3D3" w:sz="6" w:space="0"/>
            <w:left w:val="dotted" w:color="D3D3D3" w:sz="6" w:space="0"/>
            <w:bottom w:val="dotted" w:color="D3D3D3" w:sz="6" w:space="0"/>
            <w:right w:val="dotted" w:color="D3D3D3" w:sz="6" w:space="0"/>
            <w:insideH w:val="outset" w:color="000000" w:sz="6" w:space="0"/>
            <w:insideV w:val="outset" w:color="000000" w:sz="6" w:space="0"/>
          </w:tblBorders>
          <w:tblCellMar>
            <w:top w:w="30" w:type="dxa"/>
            <w:left w:w="30" w:type="dxa"/>
            <w:bottom w:w="30" w:type="dxa"/>
            <w:right w:w="30" w:type="dxa"/>
          </w:tblCellMar>
        </w:tblPrEx>
        <w:tc>
          <w:tcPr>
            <w:tcW w:w="2340" w:type="dxa"/>
            <w:vMerge w:val="continue"/>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caps w:val="0"/>
                <w:spacing w:val="0"/>
                <w:sz w:val="24"/>
                <w:szCs w:val="24"/>
              </w:rPr>
            </w:pPr>
          </w:p>
        </w:tc>
        <w:tc>
          <w:tcPr>
            <w:tcW w:w="360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一般行政管理事务</w:t>
            </w:r>
          </w:p>
        </w:tc>
        <w:tc>
          <w:tcPr>
            <w:tcW w:w="2415"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5</w:t>
            </w:r>
          </w:p>
        </w:tc>
      </w:tr>
      <w:tr>
        <w:tblPrEx>
          <w:tblBorders>
            <w:top w:val="dotted" w:color="D3D3D3" w:sz="6" w:space="0"/>
            <w:left w:val="dotted" w:color="D3D3D3" w:sz="6" w:space="0"/>
            <w:bottom w:val="dotted" w:color="D3D3D3" w:sz="6" w:space="0"/>
            <w:right w:val="dotted" w:color="D3D3D3" w:sz="6" w:space="0"/>
            <w:insideH w:val="outset" w:color="000000" w:sz="6" w:space="0"/>
            <w:insideV w:val="outset" w:color="000000" w:sz="6" w:space="0"/>
          </w:tblBorders>
          <w:tblCellMar>
            <w:top w:w="30" w:type="dxa"/>
            <w:left w:w="30" w:type="dxa"/>
            <w:bottom w:w="30" w:type="dxa"/>
            <w:right w:w="30" w:type="dxa"/>
          </w:tblCellMar>
        </w:tblPrEx>
        <w:tc>
          <w:tcPr>
            <w:tcW w:w="2340" w:type="dxa"/>
            <w:vMerge w:val="continue"/>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caps w:val="0"/>
                <w:spacing w:val="0"/>
                <w:sz w:val="24"/>
                <w:szCs w:val="24"/>
              </w:rPr>
            </w:pPr>
          </w:p>
        </w:tc>
        <w:tc>
          <w:tcPr>
            <w:tcW w:w="360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专项统计业务费</w:t>
            </w:r>
          </w:p>
        </w:tc>
        <w:tc>
          <w:tcPr>
            <w:tcW w:w="2415"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214</w:t>
            </w:r>
          </w:p>
        </w:tc>
      </w:tr>
      <w:tr>
        <w:tblPrEx>
          <w:tblBorders>
            <w:top w:val="dotted" w:color="D3D3D3" w:sz="6" w:space="0"/>
            <w:left w:val="dotted" w:color="D3D3D3" w:sz="6" w:space="0"/>
            <w:bottom w:val="dotted" w:color="D3D3D3" w:sz="6" w:space="0"/>
            <w:right w:val="dotted" w:color="D3D3D3" w:sz="6" w:space="0"/>
            <w:insideH w:val="outset" w:color="000000" w:sz="6" w:space="0"/>
            <w:insideV w:val="outset" w:color="000000" w:sz="6" w:space="0"/>
          </w:tblBorders>
          <w:tblCellMar>
            <w:top w:w="30" w:type="dxa"/>
            <w:left w:w="30" w:type="dxa"/>
            <w:bottom w:w="30" w:type="dxa"/>
            <w:right w:w="30" w:type="dxa"/>
          </w:tblCellMar>
        </w:tblPrEx>
        <w:tc>
          <w:tcPr>
            <w:tcW w:w="2340" w:type="dxa"/>
            <w:vMerge w:val="continue"/>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caps w:val="0"/>
                <w:spacing w:val="0"/>
                <w:sz w:val="24"/>
                <w:szCs w:val="24"/>
              </w:rPr>
            </w:pPr>
          </w:p>
        </w:tc>
        <w:tc>
          <w:tcPr>
            <w:tcW w:w="360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其他统计信息事务支出</w:t>
            </w:r>
          </w:p>
        </w:tc>
        <w:tc>
          <w:tcPr>
            <w:tcW w:w="2415"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139.7</w:t>
            </w:r>
          </w:p>
        </w:tc>
      </w:tr>
      <w:tr>
        <w:tblPrEx>
          <w:tblBorders>
            <w:top w:val="dotted" w:color="D3D3D3" w:sz="6" w:space="0"/>
            <w:left w:val="dotted" w:color="D3D3D3" w:sz="6" w:space="0"/>
            <w:bottom w:val="dotted" w:color="D3D3D3" w:sz="6" w:space="0"/>
            <w:right w:val="dotted" w:color="D3D3D3" w:sz="6" w:space="0"/>
            <w:insideH w:val="outset" w:color="000000" w:sz="6" w:space="0"/>
            <w:insideV w:val="outset" w:color="000000" w:sz="6" w:space="0"/>
          </w:tblBorders>
          <w:tblCellMar>
            <w:top w:w="30" w:type="dxa"/>
            <w:left w:w="30" w:type="dxa"/>
            <w:bottom w:w="30" w:type="dxa"/>
            <w:right w:w="30" w:type="dxa"/>
          </w:tblCellMar>
        </w:tblPrEx>
        <w:tc>
          <w:tcPr>
            <w:tcW w:w="2340" w:type="dxa"/>
            <w:vMerge w:val="continue"/>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caps w:val="0"/>
                <w:spacing w:val="0"/>
                <w:sz w:val="24"/>
                <w:szCs w:val="24"/>
              </w:rPr>
            </w:pPr>
          </w:p>
        </w:tc>
        <w:tc>
          <w:tcPr>
            <w:tcW w:w="3600"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事业单位离退休</w:t>
            </w:r>
          </w:p>
        </w:tc>
        <w:tc>
          <w:tcPr>
            <w:tcW w:w="2415" w:type="dxa"/>
            <w:tcBorders>
              <w:top w:val="dotted" w:color="D3D3D3" w:sz="6" w:space="0"/>
              <w:left w:val="dotted" w:color="D3D3D3" w:sz="6" w:space="0"/>
              <w:bottom w:val="dotted" w:color="D3D3D3" w:sz="6" w:space="0"/>
              <w:right w:val="dotted" w:color="D3D3D3"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caps w:val="0"/>
                <w:spacing w:val="0"/>
                <w:sz w:val="24"/>
                <w:szCs w:val="24"/>
                <w:bdr w:val="none" w:color="auto" w:sz="0" w:space="0"/>
              </w:rPr>
              <w:t>2.18</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2、专项资金实际使用情况分析。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2021年专项资金实际使用381.51万元，2021年度专项项目预算支出完成率98.83%。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3、专项资金管理情况分析，主要包括管理制度、办法的制订及执行情况。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为加强专项项目管理，提高专项资金的使用效率，我局及局属二级机构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三、部门专项组织实施情况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（一）建立健全各项制度，科学规范管理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1. 加强内部控制。我单位历来重视单位内部管理制度建设及监督，加强财务管理，强化财务监督，增强法纪观念，遵守规章制度。为保证财务管理工作规范有序进行，2021年我们加强内部控制和监督。对各项资金的管理、经费收支审批等均做了明确规定。各项经费支出实行限额把关、一支笔审批制度。开支金额在5000元以上的须经单位主要领导把关在报告上签署意见后，再履行“一单六签”的程序；开支在10万元以上的，需经党组会议研究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建立健全制度。为认真贯彻落实中央八项规定和省委九项规定，市委、市政府厉行节约的精神，进一步规范机关作风、加强机关财务管理，我局严格执行《党政机关厉行节约反对浪费条例》规定及文件精神，进一步完善了《怀化市统计局财务管理制度》、《怀化市统计局公务接待管理规定》、《怀化市统计局公车使用管理办法》、《怀化市统计局固定资产管理制度》及《怀化市统计局信息化设备管理办法》等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3.强化制度执行。切实做好厉行节约工作，全面落实各项管理制度要求，努力降低行政成本。严格公务接待费、差旅费、会议费和培训费审核审批程序，加强对公务用车的管理，实行限额把关、一支笔审批制度，做到一事一公函、一事一审批、一事一结账，会议费和培训费严格按年初计划和制度规定的标准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⠂ （二）严格执行预算，控制各项经费支出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1.公款出国（境）费：全年因公出国出境费用为零元。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2.公务用车运行维护费：严格执行公车管理规定，公务用车一律实行派车审批制、登记制，实行定点维修、IC卡加油、统一保险制度，如实登记上报公务车辆情况，严禁公车私用，严格执行公务车辆停放规定。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3.公务接待费用：严格接待审批程序，严格执行凭公函接待制度、禁酒禁烟，严格控制接待标准、接待总额严格控制在市财政规定的范围之内。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4.公务卡使用符合相关规定。公务卡使用按有关规定执行，全局干部职工全覆盖，费用开支实行公务卡结算。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5.严格执行政府采购。大额专项经费支出、设备购置一律经局党组会议研究决定，并按政府采购规定实施，耗材及办公用品实行定点采购。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四、资产管理情况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 （一）资产配置情况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2021年末我局固定资产净值122.98万元。新增固定资产2.93万元，主要购置部分数据监测平台设备。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（二）资产管理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2021年我局的资产配置严格按照《怀化市市直行政事业单位国有资产配置管理办法》执行，资产的管理由财务部门进行价值核算并设置专人进行资产实物卡片管理及使用情况监督；办公设备由办公室设置专人进行实物卡片管理及使用情况监督。我单位建立了严格的资产交付使用验收制度。资产采购根据合同、供应商发货单等对所购资产的品种、规格、数量、质量、技术要求及其他内容进行验收。重视和加强资产中车辆的投保工作，根据其性质和特点，确定和严格执行车辆的投保范围和政策。投保金额与车辆价值适当，对应投保的车辆按规定程序进行审批，办理投保手续，规范投保行为，已投保的车辆发生损坏的，及时向保险公司办理相关的索赔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2021年我局开展资产处置清理工作，进一步规范管理和盘活利用闲置国有固定资产，防止国有资产流失，提高资产使用效益，提高了我局对资产的管理水平。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五、部门整体支出绩效情况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1、统计数据质量有效提升。数据质量就是我们统计工作的生命线。把贯彻落实中央《意见》《办法》《规定》《监督意见》和省委、市委相关文件作为首要的政治任务，千方百计提升统计数据质量。一是加强基层源头数据质量控制。利用联网直报即时审核优势，加强企业上报数据的审核和监控,改进数据审核查询方式，采用机查、人核、抽检等多种方式夯实源头数据质量。二是加强业务培训。各专业科室组织培训统计业务人员，全年开展各类业务培训2000多人次，提升了县市区统计局和企业统计人员的业务水平。同时，局领导班子和业务骨干下基层授课，加强了对基层统计人员的指导。三是加强对重点企业行业的监控。针对重点指标、重点行业，开展全方位监测，经常性进行上门走访核查，对发现的问题及时提出针对性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统计监测预警精准及时。我局紧紧围绕市委市政府的中心工作，及时跟踪经济和社会发展中的热点、难点和重点问题进行监测预警。一是积极完成各项考核指标的监测。我们立足统计职能，重点做好了GDP、高质量发展等考评指标的监测、分析、预警。围绕中心、服务大局，积极参与全市绩效考核、重点民生实事等重大考核的数据收集、汇总、测算等相关工作，为各项监测考核提供了有力的数据支持。二是积极献言建策。我局加大了专题调查研究，提出具体的分析建议，充分发挥了统计工作的预见性和前瞻性，为市委市政府决策服务。参与 “十四五”规划、物流规划、能源规划等探讨研究、监测分析，为全市重大政策出台提供了科学依据。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3、为市委市政府提供分析参谋。一是定目标定任务。年初研究下发了《怀化市统计局统计分析考核办法》，压实工作责任，更加注重提升分析的数量和质量，其中《2021年上半年“四上”企业发展情况浅析》《“千人进企业 服务提质效”重点排查情况报告》等多篇分析得到了市委领导的亲批。二是统计服务产品高质量超额完成。我局每月及时编纂《怀化统计月报》，全年编印11期，每季专题呈报《统计信息专报》，每年改革完善《领导干部手册》《怀化统计年鉴》。编发《怀化统计》《决策参考》90余期，为市委、市政府科学决策提供优质统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4、高质量完成报表任务和民调工作。统计报表工作是统计部门最基本、最重要的工作任务，我们全面完成各项报表的审核、上报、评估工作。同时，保质保量完成四项调查任务。一是圆满完成省局调查任务。承接了省局关于“湖南省人才激励政策实施情况”、2021年湖南省"重点民生实事项目"等4项民意调查，并圆满完成。二是高效完成市本级调查任务。完成了“2021年怀化市社会治安综合治理民意调查”、“怀化市基本公共服务满意度调查” 以及“怀化市社会公众生态满意度调查” 等三项民意调查。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5、做好第七次全国人口普查资料开发以及名录库维护等工作。扎实推进我市第七次全国人口普查资料开发工作，完成了普查公报的发布，完成了普查工作总结和普查业务技术总结，现正在推进数据库的建设。一年来，完成3万余个单位信息的维护，审核修正错误6000余条，1-12月新纳入“四上”企业89 个，年报单位尚在申报中。同时，圆满完成我局网络二级等保建设，有效提升我局网络安全保障能力。现正在开展“四位一体”统计数据监管平台建设。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6、扎实开展统计法宣传。全年印刷《大家来学统计法》等统计法律法规宣传小册子万余份。9月28日，我局在市委门口开展十二届“统计开放日”活动，通过展板展示、发放统计宣传资料、宣传册等多种形式向社会宣传统计法。12月8日，我局举办了《统计法》颁布38周年纪念日宣传活动，开展了学统计法签名及知识抢答活动，营造出了浓厚的法治宣传氛围，进一步提高了全社会统计法治意识。三是高度重视“五查五看”回头看工作。市委市政府继续将 “五查五看”回头看工作纳入绩效考核。我局年初以一号文件下发《统计工作“五查五看”专项行动“回头看”通知》，在全市范围内对“五查五看”工作进行再发动、再部署。并率先推行“清单化”管理。全面理顺党委、政府、统计部门以及相关部门统计工作职责，实行“清单化”管理，组织市、县两级从5大方面47项工作深入开展查摆和整改。四是开展统计专项督察。为切实推进党中央国务院、省委省政府关于统计工作的决策部署，扎实做好《防范和惩治统计造假、弄虚作假督察工作规定》各项工作，6月下旬对鹤城区、麻阳县、辰溪县、新晃县、靖州县、洪江市等县市区贯彻落实统计工作规定情况进行督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六、存在的主要问题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绩效管理理念不足，宣导力度不够，各科室使用资金时对绩效目标概念认识不足。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七、改进措施和有关建议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加强绩效管理工作的宣传力度，更新观念，强化资金使用和绩效目标意识，提高政府采购等各项工作绩效，不断提高生态环境管理工作精准度。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mNTliZjFmZWYxOWU5ZDIwYTVkMTg4ZTRhZDRiY2YifQ=="/>
  </w:docVars>
  <w:rsids>
    <w:rsidRoot w:val="00000000"/>
    <w:rsid w:val="14E14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2023-10-11T01:51:49Z</dcterms:created>
  <dc:creator>Administrator</dc:creator>
  <cp:lastModifiedBy>凌晓</cp:lastModifiedBy>
  <dcterms:modified xsi:type="dcterms:W3CDTF">2023-10-11T01:55:50Z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FFD729D4691342E3ADF7C04AD53F5D65_12</vt:lpwstr>
  </property>
</Properties>
</file>