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黑体" w:eastAsia="方正小标宋简体"/>
          <w:sz w:val="44"/>
          <w:szCs w:val="44"/>
          <w:lang w:val="en-US"/>
        </w:rPr>
      </w:pPr>
      <w:bookmarkStart w:id="0" w:name="_GoBack"/>
      <w:bookmarkEnd w:id="0"/>
      <w:r>
        <w:rPr>
          <w:rFonts w:hint="eastAsia" w:ascii="方正小标宋简体" w:hAnsi="黑体" w:eastAsia="方正小标宋简体"/>
          <w:sz w:val="44"/>
          <w:szCs w:val="44"/>
          <w:lang w:val="en-US"/>
        </w:rPr>
        <w:t>关于开展“调查对象依法设置原始记录、</w:t>
      </w:r>
    </w:p>
    <w:p>
      <w:pPr>
        <w:spacing w:line="600" w:lineRule="exact"/>
        <w:jc w:val="center"/>
        <w:rPr>
          <w:rFonts w:ascii="方正小标宋简体" w:hAnsi="黑体" w:eastAsia="方正小标宋简体"/>
          <w:sz w:val="44"/>
          <w:szCs w:val="44"/>
          <w:lang w:val="en-US"/>
        </w:rPr>
      </w:pPr>
      <w:r>
        <w:rPr>
          <w:rFonts w:hint="eastAsia" w:ascii="方正小标宋简体" w:hAnsi="黑体" w:eastAsia="方正小标宋简体"/>
          <w:sz w:val="44"/>
          <w:szCs w:val="44"/>
          <w:lang w:val="en-US"/>
        </w:rPr>
        <w:t>统计台账”联合抽查实施方案</w:t>
      </w:r>
    </w:p>
    <w:p>
      <w:pPr>
        <w:pStyle w:val="2"/>
        <w:spacing w:line="600" w:lineRule="exact"/>
        <w:rPr>
          <w:rFonts w:ascii="仿宋_GB2312" w:eastAsia="仿宋_GB2312"/>
          <w:sz w:val="32"/>
          <w:szCs w:val="32"/>
          <w:lang w:val="en-US"/>
        </w:rPr>
      </w:pPr>
    </w:p>
    <w:p>
      <w:pPr>
        <w:widowControl/>
        <w:spacing w:line="580" w:lineRule="exact"/>
        <w:rPr>
          <w:rFonts w:ascii="黑体" w:hAnsi="黑体" w:eastAsia="黑体" w:cs="黑体"/>
          <w:color w:val="000000"/>
          <w:sz w:val="32"/>
          <w:szCs w:val="32"/>
          <w:lang w:val="en-US"/>
        </w:rPr>
      </w:pPr>
      <w:r>
        <w:rPr>
          <w:rFonts w:hint="eastAsia" w:ascii="黑体" w:hAnsi="黑体" w:eastAsia="黑体" w:cs="黑体"/>
          <w:color w:val="000000"/>
          <w:sz w:val="32"/>
          <w:szCs w:val="32"/>
          <w:lang w:val="en-US"/>
        </w:rPr>
        <w:t xml:space="preserve">    一、工作目的</w:t>
      </w:r>
    </w:p>
    <w:p>
      <w:pPr>
        <w:pStyle w:val="3"/>
        <w:spacing w:line="580" w:lineRule="exact"/>
        <w:ind w:firstLine="640" w:firstLineChars="200"/>
        <w:jc w:val="both"/>
        <w:rPr>
          <w:rFonts w:ascii="Times New Roman" w:hAnsi="Times New Roman" w:eastAsia="仿宋_GB2312" w:cs="Times New Roman"/>
          <w:lang w:val="en-US"/>
        </w:rPr>
      </w:pPr>
      <w:r>
        <w:rPr>
          <w:rFonts w:hint="eastAsia" w:ascii="Times New Roman" w:hAnsi="Times New Roman" w:eastAsia="仿宋_GB2312" w:cs="Times New Roman"/>
          <w:lang w:val="en-US"/>
        </w:rPr>
        <w:t>通过在市场监管领域推行“双随机、一公开”监管，督促、指导企业按照《统计法》的要求，建立健全统计原始凭证和统计台账资料，加强统计基层基础工作，强化企业主体责任，确保调查对象报数有据，进一步提高统计数据的质量。</w:t>
      </w:r>
    </w:p>
    <w:p>
      <w:pPr>
        <w:widowControl/>
        <w:spacing w:line="580" w:lineRule="exact"/>
        <w:rPr>
          <w:rFonts w:ascii="黑体" w:hAnsi="黑体" w:eastAsia="黑体" w:cs="黑体"/>
          <w:color w:val="000000"/>
          <w:sz w:val="32"/>
          <w:szCs w:val="32"/>
          <w:lang w:val="en-US"/>
        </w:rPr>
      </w:pPr>
      <w:r>
        <w:rPr>
          <w:rFonts w:hint="eastAsia" w:ascii="黑体" w:hAnsi="黑体" w:eastAsia="黑体" w:cs="黑体"/>
          <w:color w:val="000000"/>
          <w:sz w:val="32"/>
          <w:szCs w:val="32"/>
          <w:lang w:val="en-US"/>
        </w:rPr>
        <w:t xml:space="preserve">     二、抽查的对象</w:t>
      </w:r>
    </w:p>
    <w:p>
      <w:pPr>
        <w:autoSpaceDE/>
        <w:autoSpaceDN/>
        <w:spacing w:line="580" w:lineRule="exact"/>
        <w:ind w:firstLine="640" w:firstLineChars="200"/>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按2%的比例抽取联网直报的“四上”企业。具体抽查的名单通过湖南省“双随机、一公开”监管工作平台统一实施，确定具体企业名单，并通过国家企业信用信息公示系统（湖南）对外公示抽查结果。</w:t>
      </w:r>
    </w:p>
    <w:p>
      <w:pPr>
        <w:widowControl/>
        <w:spacing w:line="560" w:lineRule="exact"/>
        <w:rPr>
          <w:rFonts w:ascii="黑体" w:hAnsi="黑体" w:eastAsia="黑体" w:cs="黑体"/>
          <w:color w:val="000000"/>
          <w:sz w:val="32"/>
          <w:szCs w:val="32"/>
          <w:lang w:val="en-US"/>
        </w:rPr>
      </w:pPr>
      <w:r>
        <w:rPr>
          <w:rFonts w:hint="eastAsia" w:ascii="黑体" w:hAnsi="黑体" w:eastAsia="黑体" w:cs="黑体"/>
          <w:color w:val="000000"/>
          <w:sz w:val="32"/>
          <w:szCs w:val="32"/>
          <w:lang w:val="en-US"/>
        </w:rPr>
        <w:t xml:space="preserve">    三、抽查的人员</w:t>
      </w:r>
    </w:p>
    <w:p>
      <w:pPr>
        <w:pStyle w:val="3"/>
        <w:spacing w:line="560" w:lineRule="exact"/>
        <w:ind w:firstLine="640" w:firstLineChars="200"/>
        <w:jc w:val="both"/>
        <w:rPr>
          <w:rFonts w:ascii="Times New Roman" w:hAnsi="Times New Roman" w:eastAsia="仿宋_GB2312" w:cs="Times New Roman"/>
          <w:lang w:val="en-US"/>
        </w:rPr>
      </w:pPr>
      <w:r>
        <w:rPr>
          <w:rFonts w:hint="eastAsia" w:ascii="Times New Roman" w:hAnsi="Times New Roman" w:eastAsia="仿宋_GB2312" w:cs="Times New Roman"/>
          <w:lang w:val="en-US"/>
        </w:rPr>
        <w:t>市统计局相关专业人员（以执法监督科为主）；市商务局、住建局等部门有关人员。相关部门的参与由市全面推行市场监管领域“双随机、一公开”工作联席会议办公室协调。</w:t>
      </w:r>
    </w:p>
    <w:p>
      <w:pPr>
        <w:widowControl/>
        <w:spacing w:line="560" w:lineRule="exact"/>
        <w:rPr>
          <w:rFonts w:ascii="黑体" w:hAnsi="黑体" w:eastAsia="黑体" w:cs="黑体"/>
          <w:color w:val="000000"/>
          <w:sz w:val="32"/>
          <w:szCs w:val="32"/>
          <w:lang w:val="en-US"/>
        </w:rPr>
      </w:pPr>
      <w:r>
        <w:rPr>
          <w:rFonts w:hint="eastAsia" w:ascii="黑体" w:hAnsi="黑体" w:eastAsia="黑体" w:cs="黑体"/>
          <w:color w:val="000000"/>
          <w:sz w:val="32"/>
          <w:szCs w:val="32"/>
          <w:lang w:val="en-US"/>
        </w:rPr>
        <w:t xml:space="preserve">     四、抽查的事项</w:t>
      </w:r>
    </w:p>
    <w:p>
      <w:pPr>
        <w:pStyle w:val="3"/>
        <w:spacing w:line="560" w:lineRule="exact"/>
        <w:jc w:val="both"/>
        <w:rPr>
          <w:rFonts w:ascii="Times New Roman" w:hAnsi="Times New Roman" w:eastAsia="仿宋_GB2312" w:cs="Times New Roman"/>
          <w:lang w:val="en-US"/>
        </w:rPr>
      </w:pPr>
      <w:r>
        <w:rPr>
          <w:rFonts w:hint="eastAsia" w:ascii="Times New Roman" w:hAnsi="Times New Roman" w:eastAsia="仿宋_GB2312" w:cs="Times New Roman"/>
          <w:lang w:val="en-US"/>
        </w:rPr>
        <w:t xml:space="preserve">    根据《统计法》及《统计法实施条例》的要求和市场监管总局等16</w:t>
      </w:r>
      <w:r>
        <w:rPr>
          <w:rFonts w:ascii="Times New Roman" w:hAnsi="Times New Roman" w:eastAsia="仿宋_GB2312" w:cs="Times New Roman"/>
          <w:lang w:val="en-US"/>
        </w:rPr>
        <w:t>部门关于印发《市场监管领域 部门联合抽查事项清单》的通知</w:t>
      </w:r>
      <w:r>
        <w:rPr>
          <w:rFonts w:hint="eastAsia" w:ascii="Times New Roman" w:hAnsi="Times New Roman" w:eastAsia="仿宋_GB2312" w:cs="Times New Roman"/>
          <w:lang w:val="en-US"/>
        </w:rPr>
        <w:t>，确定“调查对象依法设置原始记录、统计台账”事项开展联合抽查，抽查事项已到市“双随机、一公开” 工作联席会议办公室备案。</w:t>
      </w:r>
    </w:p>
    <w:p>
      <w:pPr>
        <w:pStyle w:val="3"/>
        <w:spacing w:line="600" w:lineRule="exact"/>
        <w:jc w:val="both"/>
        <w:rPr>
          <w:rFonts w:ascii="Times New Roman" w:hAnsi="Times New Roman" w:eastAsia="仿宋_GB2312" w:cs="Times New Roman"/>
          <w:lang w:val="en-US"/>
        </w:rPr>
      </w:pPr>
      <w:r>
        <w:rPr>
          <w:rFonts w:hint="eastAsia" w:ascii="黑体" w:hAnsi="黑体" w:eastAsia="黑体" w:cs="黑体"/>
          <w:color w:val="000000"/>
          <w:lang w:val="en-US"/>
        </w:rPr>
        <w:t xml:space="preserve">    五、抽查的时间</w:t>
      </w:r>
    </w:p>
    <w:p>
      <w:pPr>
        <w:pStyle w:val="3"/>
        <w:spacing w:line="600" w:lineRule="exact"/>
        <w:ind w:firstLine="640" w:firstLineChars="200"/>
        <w:jc w:val="both"/>
        <w:rPr>
          <w:rFonts w:ascii="Times New Roman" w:hAnsi="Times New Roman" w:eastAsia="仿宋_GB2312" w:cs="Times New Roman"/>
          <w:lang w:val="en-US"/>
        </w:rPr>
      </w:pPr>
      <w:r>
        <w:rPr>
          <w:rFonts w:hint="eastAsia" w:ascii="Times New Roman" w:hAnsi="Times New Roman" w:eastAsia="仿宋_GB2312" w:cs="Times New Roman"/>
          <w:lang w:val="en-US"/>
        </w:rPr>
        <w:t>定于2021年10月份具体组织实施。</w:t>
      </w:r>
    </w:p>
    <w:p>
      <w:pPr>
        <w:pStyle w:val="3"/>
        <w:spacing w:line="600" w:lineRule="exact"/>
        <w:jc w:val="both"/>
        <w:rPr>
          <w:rFonts w:ascii="黑体" w:hAnsi="黑体" w:eastAsia="黑体" w:cs="黑体"/>
          <w:color w:val="000000"/>
          <w:lang w:val="en-US"/>
        </w:rPr>
      </w:pPr>
      <w:r>
        <w:rPr>
          <w:rFonts w:hint="eastAsia" w:ascii="黑体" w:hAnsi="黑体" w:eastAsia="黑体" w:cs="黑体"/>
          <w:color w:val="000000"/>
          <w:lang w:val="en-US"/>
        </w:rPr>
        <w:t xml:space="preserve">    六、抽查方法</w:t>
      </w:r>
    </w:p>
    <w:p>
      <w:pPr>
        <w:pStyle w:val="3"/>
        <w:spacing w:line="600" w:lineRule="exact"/>
        <w:jc w:val="both"/>
        <w:rPr>
          <w:rFonts w:ascii="仿宋_GB2312" w:eastAsia="仿宋_GB2312"/>
          <w:lang w:val="en-US"/>
        </w:rPr>
      </w:pPr>
      <w:r>
        <w:rPr>
          <w:rFonts w:hint="eastAsia" w:ascii="Times New Roman" w:hAnsi="Times New Roman" w:eastAsia="仿宋_GB2312" w:cs="Times New Roman"/>
          <w:lang w:val="en-US"/>
        </w:rPr>
        <w:t xml:space="preserve">    入户调查。检查人员深入企业经营场所，调取相关资料，填写</w:t>
      </w:r>
      <w:r>
        <w:rPr>
          <w:rFonts w:hint="eastAsia" w:ascii="仿宋_GB2312" w:eastAsia="仿宋_GB2312"/>
          <w:lang w:val="en-US"/>
        </w:rPr>
        <w:t>“调查对象依法设置原始记录、统计台账”抽查入户调查表，并签字。</w:t>
      </w:r>
    </w:p>
    <w:p>
      <w:pPr>
        <w:pStyle w:val="3"/>
        <w:spacing w:line="600" w:lineRule="exact"/>
        <w:jc w:val="both"/>
        <w:rPr>
          <w:rFonts w:ascii="仿宋_GB2312" w:eastAsia="仿宋_GB2312"/>
          <w:lang w:val="en-US"/>
        </w:rPr>
      </w:pPr>
      <w:r>
        <w:rPr>
          <w:rFonts w:hint="eastAsia" w:ascii="黑体" w:hAnsi="黑体" w:eastAsia="黑体" w:cs="黑体"/>
          <w:color w:val="000000"/>
          <w:lang w:val="en-US"/>
        </w:rPr>
        <w:t xml:space="preserve">    七、抽查结果的公示</w:t>
      </w:r>
    </w:p>
    <w:p>
      <w:pPr>
        <w:pStyle w:val="3"/>
        <w:spacing w:line="600" w:lineRule="exact"/>
        <w:jc w:val="both"/>
        <w:rPr>
          <w:rFonts w:ascii="Times New Roman" w:hAnsi="Times New Roman" w:eastAsia="仿宋_GB2312" w:cs="Times New Roman"/>
          <w:lang w:val="en-US"/>
        </w:rPr>
      </w:pPr>
      <w:r>
        <w:rPr>
          <w:rFonts w:hint="eastAsia" w:ascii="Times New Roman" w:hAnsi="Times New Roman" w:eastAsia="仿宋_GB2312" w:cs="Times New Roman"/>
          <w:lang w:val="en-US"/>
        </w:rPr>
        <w:t xml:space="preserve">    联合抽查结束后，市统计局和参与部门按照“谁检查、谁录入、谁公开”的原则，分别将所查事项的抽查检查结果涉企信息统一归集至国家企业信用信息公示系统，并记于企业名下。</w:t>
      </w: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hint="eastAsia" w:ascii="Times New Roman" w:hAnsi="Times New Roman" w:eastAsia="仿宋_GB2312" w:cs="Times New Roman"/>
          <w:lang w:val="en-US"/>
        </w:rPr>
      </w:pPr>
    </w:p>
    <w:p>
      <w:pPr>
        <w:pStyle w:val="3"/>
        <w:spacing w:line="600" w:lineRule="exact"/>
        <w:jc w:val="both"/>
        <w:rPr>
          <w:rFonts w:hint="eastAsia" w:ascii="Times New Roman" w:hAnsi="Times New Roman" w:eastAsia="仿宋_GB2312" w:cs="Times New Roman"/>
          <w:lang w:val="en-US"/>
        </w:rPr>
      </w:pPr>
    </w:p>
    <w:p>
      <w:pPr>
        <w:pStyle w:val="3"/>
        <w:spacing w:line="600" w:lineRule="exact"/>
        <w:jc w:val="both"/>
        <w:rPr>
          <w:rFonts w:hint="eastAsia" w:ascii="Times New Roman" w:hAnsi="Times New Roman" w:eastAsia="仿宋_GB2312" w:cs="Times New Roman"/>
          <w:lang w:val="en-US"/>
        </w:rPr>
      </w:pP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ascii="Times New Roman" w:hAnsi="Times New Roman" w:eastAsia="仿宋_GB2312" w:cs="Times New Roman"/>
          <w:lang w:val="en-US"/>
        </w:rPr>
      </w:pPr>
    </w:p>
    <w:p>
      <w:pPr>
        <w:pStyle w:val="3"/>
        <w:spacing w:line="600" w:lineRule="exact"/>
        <w:jc w:val="both"/>
        <w:rPr>
          <w:rFonts w:ascii="仿宋_GB2312" w:hAnsi="黑体" w:eastAsia="仿宋_GB2312" w:cs="黑体"/>
          <w:color w:val="000000"/>
          <w:lang w:val="en-US"/>
        </w:rPr>
      </w:pPr>
      <w:r>
        <w:rPr>
          <w:rFonts w:hint="eastAsia" w:ascii="仿宋_GB2312" w:hAnsi="黑体" w:eastAsia="仿宋_GB2312" w:cs="黑体"/>
          <w:color w:val="000000"/>
          <w:lang w:val="en-US"/>
        </w:rPr>
        <w:t>附件一：</w:t>
      </w:r>
    </w:p>
    <w:p>
      <w:pPr>
        <w:pStyle w:val="3"/>
        <w:spacing w:line="600" w:lineRule="exact"/>
        <w:jc w:val="center"/>
        <w:rPr>
          <w:rFonts w:ascii="方正小标宋简体" w:hAnsi="黑体" w:eastAsia="方正小标宋简体" w:cs="黑体"/>
          <w:color w:val="000000"/>
          <w:sz w:val="36"/>
          <w:szCs w:val="36"/>
          <w:lang w:val="en-US"/>
        </w:rPr>
      </w:pPr>
      <w:r>
        <w:rPr>
          <w:rFonts w:hint="eastAsia" w:ascii="方正小标宋简体" w:hAnsi="黑体" w:eastAsia="方正小标宋简体" w:cs="黑体"/>
          <w:color w:val="000000"/>
          <w:sz w:val="36"/>
          <w:szCs w:val="36"/>
          <w:lang w:val="en-US"/>
        </w:rPr>
        <w:t>怀化市全面推行市场监管领域“双随机、一公开”</w:t>
      </w:r>
    </w:p>
    <w:p>
      <w:pPr>
        <w:pStyle w:val="3"/>
        <w:spacing w:line="600" w:lineRule="exact"/>
        <w:jc w:val="center"/>
        <w:rPr>
          <w:rFonts w:ascii="方正小标宋简体" w:hAnsi="黑体" w:eastAsia="方正小标宋简体" w:cs="黑体"/>
          <w:color w:val="000000"/>
          <w:sz w:val="36"/>
          <w:szCs w:val="36"/>
          <w:lang w:val="en-US"/>
        </w:rPr>
      </w:pPr>
      <w:r>
        <w:rPr>
          <w:rFonts w:hint="eastAsia" w:ascii="方正小标宋简体" w:hAnsi="黑体" w:eastAsia="方正小标宋简体" w:cs="黑体"/>
          <w:color w:val="000000"/>
          <w:sz w:val="36"/>
          <w:szCs w:val="36"/>
          <w:lang w:val="en-US"/>
        </w:rPr>
        <w:t>工作联席会议办公室关于印发《2021 年度怀化市市场</w:t>
      </w:r>
    </w:p>
    <w:p>
      <w:pPr>
        <w:pStyle w:val="3"/>
        <w:spacing w:line="600" w:lineRule="exact"/>
        <w:jc w:val="center"/>
        <w:rPr>
          <w:rFonts w:ascii="方正小标宋简体" w:hAnsi="黑体" w:eastAsia="方正小标宋简体" w:cs="黑体"/>
          <w:color w:val="000000"/>
          <w:sz w:val="36"/>
          <w:szCs w:val="36"/>
          <w:lang w:val="en-US"/>
        </w:rPr>
      </w:pPr>
      <w:r>
        <w:rPr>
          <w:rFonts w:hint="eastAsia" w:ascii="方正小标宋简体" w:hAnsi="黑体" w:eastAsia="方正小标宋简体" w:cs="黑体"/>
          <w:color w:val="000000"/>
          <w:sz w:val="36"/>
          <w:szCs w:val="36"/>
          <w:lang w:val="en-US"/>
        </w:rPr>
        <w:t>监管领域市级部门联合“双随机、一公开”监管检查</w:t>
      </w:r>
    </w:p>
    <w:p>
      <w:pPr>
        <w:pStyle w:val="3"/>
        <w:spacing w:line="600" w:lineRule="exact"/>
        <w:jc w:val="center"/>
        <w:rPr>
          <w:rFonts w:ascii="方正小标宋简体" w:hAnsi="黑体" w:eastAsia="方正小标宋简体" w:cs="黑体"/>
          <w:color w:val="000000"/>
          <w:sz w:val="36"/>
          <w:szCs w:val="36"/>
          <w:lang w:val="en-US"/>
        </w:rPr>
      </w:pPr>
      <w:r>
        <w:rPr>
          <w:rFonts w:hint="eastAsia" w:ascii="方正小标宋简体" w:hAnsi="黑体" w:eastAsia="方正小标宋简体" w:cs="黑体"/>
          <w:color w:val="000000"/>
          <w:sz w:val="36"/>
          <w:szCs w:val="36"/>
          <w:lang w:val="en-US"/>
        </w:rPr>
        <w:t>抽查工作计划》的通知</w:t>
      </w:r>
    </w:p>
    <w:p>
      <w:pPr>
        <w:pStyle w:val="3"/>
        <w:spacing w:line="600" w:lineRule="exact"/>
        <w:jc w:val="both"/>
        <w:rPr>
          <w:rFonts w:hint="eastAsia" w:ascii="仿宋_GB2312" w:hAnsi="仿宋_GB2312" w:eastAsia="仿宋_GB2312" w:cs="仿宋_GB2312"/>
        </w:rPr>
      </w:pPr>
    </w:p>
    <w:p>
      <w:pPr>
        <w:pStyle w:val="3"/>
        <w:spacing w:line="600" w:lineRule="exact"/>
        <w:jc w:val="both"/>
        <w:rPr>
          <w:rFonts w:ascii="仿宋_GB2312" w:hAnsi="仿宋_GB2312" w:eastAsia="仿宋_GB2312" w:cs="仿宋_GB2312"/>
          <w:color w:val="000000" w:themeColor="text1"/>
        </w:rPr>
      </w:pPr>
      <w:r>
        <w:rPr>
          <w:rFonts w:hint="eastAsia" w:ascii="仿宋_GB2312" w:hAnsi="仿宋_GB2312" w:eastAsia="仿宋_GB2312" w:cs="仿宋_GB2312"/>
        </w:rPr>
        <w:t>市市场监管领域部门联合“双随机、一公开”监管联席会议各</w:t>
      </w:r>
      <w:r>
        <w:rPr>
          <w:rFonts w:hint="eastAsia" w:ascii="仿宋_GB2312" w:hAnsi="仿宋_GB2312" w:eastAsia="仿宋_GB2312" w:cs="仿宋_GB2312"/>
          <w:color w:val="000000" w:themeColor="text1"/>
        </w:rPr>
        <w:t>成员单位：</w:t>
      </w:r>
    </w:p>
    <w:p>
      <w:pPr>
        <w:pStyle w:val="3"/>
        <w:spacing w:line="600" w:lineRule="exact"/>
        <w:ind w:firstLine="640" w:firstLineChars="200"/>
        <w:jc w:val="both"/>
        <w:rPr>
          <w:rFonts w:ascii="仿宋_GB2312" w:hAnsi="仿宋_GB2312" w:eastAsia="仿宋_GB2312" w:cs="仿宋_GB2312"/>
        </w:rPr>
      </w:pPr>
      <w:r>
        <w:rPr>
          <w:rFonts w:hint="eastAsia" w:ascii="仿宋_GB2312" w:hAnsi="仿宋_GB2312" w:eastAsia="仿宋_GB2312" w:cs="仿宋_GB2312"/>
        </w:rPr>
        <w:t>现将《2021 年度怀化市市场监管领域市级部门联合“双随机、一公开”监管检查抽查工作计划》（以下简称《市级部门联合抽查计划》）印发给你们，并提出如下要求，请一并遵照执行。</w:t>
      </w:r>
    </w:p>
    <w:p>
      <w:pPr>
        <w:pStyle w:val="3"/>
        <w:spacing w:line="600" w:lineRule="exact"/>
        <w:ind w:firstLine="640" w:firstLineChars="200"/>
        <w:jc w:val="both"/>
        <w:rPr>
          <w:rFonts w:ascii="黑体" w:hAnsi="黑体" w:eastAsia="黑体" w:cs="黑体"/>
        </w:rPr>
      </w:pPr>
      <w:r>
        <w:rPr>
          <w:rFonts w:hint="eastAsia" w:ascii="黑体" w:hAnsi="黑体" w:eastAsia="黑体" w:cs="黑体"/>
        </w:rPr>
        <w:t>一、严格执行计划</w:t>
      </w:r>
    </w:p>
    <w:p>
      <w:pPr>
        <w:pStyle w:val="3"/>
        <w:spacing w:line="600" w:lineRule="exact"/>
        <w:ind w:firstLine="564" w:firstLineChars="200"/>
        <w:jc w:val="both"/>
        <w:rPr>
          <w:rFonts w:ascii="仿宋_GB2312" w:hAnsi="仿宋_GB2312" w:eastAsia="仿宋_GB2312" w:cs="仿宋_GB2312"/>
        </w:rPr>
      </w:pPr>
      <w:r>
        <w:rPr>
          <w:rFonts w:hint="eastAsia" w:ascii="仿宋_GB2312" w:hAnsi="仿宋_GB2312" w:eastAsia="仿宋_GB2312" w:cs="仿宋_GB2312"/>
          <w:spacing w:val="-19"/>
        </w:rPr>
        <w:t xml:space="preserve">根据省政府及省双随机办的年度重点工作要求，依据《市场监管总局等 </w:t>
      </w:r>
      <w:r>
        <w:rPr>
          <w:rFonts w:hint="eastAsia" w:ascii="仿宋_GB2312" w:hAnsi="仿宋_GB2312" w:eastAsia="仿宋_GB2312" w:cs="仿宋_GB2312"/>
        </w:rPr>
        <w:t>16部门关于印发〈市场监管领域部门联合抽查事项清单（第一版）〉的通知》规定的范围和内容，我办组织市市场监管领域部门联合“双随机、一公开”监管联席会议各成员单位编制了《市级部门联合抽查计划》，各成员单位要严格按照抽查计划实施联合抽查，避免多头布置、多头执法、重复检查，减少对市场主体正常经营活动的干扰。各县市区人民政府可参照《市级部门联合抽查计划》，根据工作实际，制定本级市场监管领域部门联合 “双随机、一公开”监管抽查工作计划。</w:t>
      </w:r>
    </w:p>
    <w:p>
      <w:pPr>
        <w:pStyle w:val="3"/>
        <w:spacing w:line="600" w:lineRule="exact"/>
        <w:ind w:firstLine="640" w:firstLineChars="200"/>
        <w:jc w:val="both"/>
        <w:rPr>
          <w:rFonts w:ascii="仿宋_GB2312" w:hAnsi="仿宋_GB2312" w:eastAsia="仿宋_GB2312" w:cs="仿宋_GB2312"/>
        </w:rPr>
      </w:pPr>
    </w:p>
    <w:p>
      <w:pPr>
        <w:pStyle w:val="3"/>
        <w:spacing w:line="600" w:lineRule="exact"/>
        <w:ind w:firstLine="640" w:firstLineChars="200"/>
        <w:jc w:val="both"/>
        <w:rPr>
          <w:rFonts w:ascii="黑体" w:hAnsi="黑体" w:eastAsia="黑体" w:cs="黑体"/>
        </w:rPr>
      </w:pPr>
      <w:r>
        <w:rPr>
          <w:rFonts w:hint="eastAsia" w:ascii="黑体" w:hAnsi="黑体" w:eastAsia="黑体" w:cs="黑体"/>
        </w:rPr>
        <w:t>二、规范实施过程</w:t>
      </w:r>
    </w:p>
    <w:p>
      <w:pPr>
        <w:pStyle w:val="3"/>
        <w:spacing w:line="600" w:lineRule="exact"/>
        <w:ind w:firstLine="632" w:firstLineChars="200"/>
        <w:jc w:val="both"/>
        <w:rPr>
          <w:rFonts w:ascii="仿宋_GB2312" w:hAnsi="仿宋_GB2312" w:eastAsia="仿宋_GB2312" w:cs="仿宋_GB2312"/>
          <w:spacing w:val="-2"/>
        </w:rPr>
      </w:pPr>
      <w:r>
        <w:rPr>
          <w:rFonts w:hint="eastAsia" w:ascii="仿宋_GB2312" w:hAnsi="仿宋_GB2312" w:eastAsia="仿宋_GB2312" w:cs="仿宋_GB2312"/>
          <w:spacing w:val="-2"/>
        </w:rPr>
        <w:t>原则上所有双随机抽查均应通过湖南省“双随机、一公开”监管工作平台（以下简称省级平台）统一实施，并通过国家企业信用信息公示系统（湖南）对外公示抽查结果。不能记于企业名下的非市场主体抽查结果信息可同时通过各部门官网等其他平台公示。对具体抽查任务有疑问的，请咨询任务发起部门。各部门应进一步完善省级平台的检查对象名录库和执法检查人员名录库信息，熟练省级平台操作，全程通过省级平台开展“双随机、一公开”监管抽查工作，确保双随机抽查的规范化、制度化、统一化。</w:t>
      </w:r>
    </w:p>
    <w:p>
      <w:pPr>
        <w:pStyle w:val="3"/>
        <w:spacing w:line="600" w:lineRule="exact"/>
        <w:ind w:firstLine="640" w:firstLineChars="200"/>
        <w:jc w:val="both"/>
        <w:rPr>
          <w:rFonts w:ascii="黑体" w:hAnsi="黑体" w:eastAsia="黑体" w:cs="黑体"/>
        </w:rPr>
      </w:pPr>
      <w:r>
        <w:rPr>
          <w:rFonts w:hint="eastAsia" w:ascii="黑体" w:hAnsi="黑体" w:eastAsia="黑体" w:cs="黑体"/>
        </w:rPr>
        <w:t>三、强化部门联合</w:t>
      </w:r>
    </w:p>
    <w:p>
      <w:pPr>
        <w:pStyle w:val="3"/>
        <w:spacing w:line="600" w:lineRule="exact"/>
        <w:ind w:firstLine="640" w:firstLineChars="200"/>
        <w:jc w:val="both"/>
        <w:rPr>
          <w:rFonts w:ascii="仿宋_GB2312" w:hAnsi="仿宋_GB2312" w:eastAsia="仿宋_GB2312" w:cs="仿宋_GB2312"/>
        </w:rPr>
      </w:pPr>
      <w:r>
        <w:rPr>
          <w:rFonts w:hint="eastAsia" w:ascii="仿宋_GB2312" w:hAnsi="仿宋_GB2312" w:eastAsia="仿宋_GB2312" w:cs="仿宋_GB2312"/>
        </w:rPr>
        <w:t>部门联合抽查计划发起部门应主动协调各配合部门，根据抽查事项制定详细的联合检查实施方案，及时通知配合部门在省级平台中认领任务，做好联合抽查计划实施全过程的督促指导工作；配合部门要积极与发起部门对接，按计划要求完成本部门的</w:t>
      </w:r>
      <w:r>
        <w:rPr>
          <w:rFonts w:hint="eastAsia" w:ascii="仿宋_GB2312" w:hAnsi="仿宋_GB2312" w:eastAsia="仿宋_GB2312" w:cs="仿宋_GB2312"/>
          <w:spacing w:val="1"/>
        </w:rPr>
        <w:t>任务。市本级联合抽查计划制定及实施情况</w:t>
      </w:r>
      <w:r>
        <w:rPr>
          <w:rFonts w:hint="eastAsia" w:ascii="仿宋_GB2312" w:hAnsi="仿宋_GB2312" w:eastAsia="仿宋_GB2312" w:cs="仿宋_GB2312"/>
        </w:rPr>
        <w:t>将纳入 2021 年市直单位绩效评估指标体系。</w:t>
      </w:r>
    </w:p>
    <w:p>
      <w:pPr>
        <w:autoSpaceDE/>
        <w:autoSpaceDN/>
        <w:spacing w:line="600" w:lineRule="exact"/>
        <w:jc w:val="both"/>
        <w:rPr>
          <w:rFonts w:ascii="Times New Roman" w:hAnsi="Times New Roman" w:eastAsia="仿宋_GB2312" w:cs="Times New Roman"/>
          <w:sz w:val="32"/>
          <w:szCs w:val="32"/>
          <w:lang w:val="en-US"/>
        </w:rPr>
      </w:pPr>
      <w:r>
        <w:rPr>
          <w:rFonts w:ascii="Times New Roman" w:hAnsi="Times New Roman" w:eastAsia="仿宋_GB2312" w:cs="Times New Roman"/>
          <w:sz w:val="32"/>
          <w:szCs w:val="32"/>
          <w:lang w:val="en-US"/>
        </w:rPr>
        <w:t>怀化市全面推行市场监管领域</w:t>
      </w:r>
    </w:p>
    <w:p>
      <w:pPr>
        <w:spacing w:line="600" w:lineRule="exact"/>
        <w:ind w:firstLine="640" w:firstLineChars="200"/>
        <w:jc w:val="center"/>
        <w:rPr>
          <w:rFonts w:ascii="Times New Roman" w:hAnsi="Times New Roman" w:eastAsia="仿宋_GB2312" w:cs="Times New Roman"/>
          <w:sz w:val="32"/>
          <w:szCs w:val="32"/>
          <w:lang w:val="en-US"/>
        </w:rPr>
      </w:pPr>
    </w:p>
    <w:p>
      <w:pPr>
        <w:spacing w:line="600" w:lineRule="exact"/>
        <w:ind w:firstLine="640" w:firstLineChars="200"/>
        <w:jc w:val="center"/>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 xml:space="preserve">                </w:t>
      </w:r>
      <w:r>
        <w:rPr>
          <w:rFonts w:ascii="Times New Roman" w:hAnsi="Times New Roman" w:eastAsia="仿宋_GB2312" w:cs="Times New Roman"/>
          <w:sz w:val="32"/>
          <w:szCs w:val="32"/>
          <w:lang w:val="en-US"/>
        </w:rPr>
        <w:t>“双随机、一公开”工作联席会议办公室</w:t>
      </w:r>
    </w:p>
    <w:p>
      <w:pPr>
        <w:spacing w:line="600" w:lineRule="exact"/>
        <w:ind w:firstLine="640" w:firstLineChars="200"/>
        <w:jc w:val="center"/>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 xml:space="preserve">                </w:t>
      </w:r>
      <w:r>
        <w:rPr>
          <w:rFonts w:ascii="Times New Roman" w:hAnsi="Times New Roman" w:eastAsia="仿宋_GB2312" w:cs="Times New Roman"/>
          <w:sz w:val="32"/>
          <w:szCs w:val="32"/>
          <w:lang w:val="en-US"/>
        </w:rPr>
        <w:t xml:space="preserve"> 2021年</w:t>
      </w:r>
      <w:r>
        <w:rPr>
          <w:rFonts w:ascii="Times New Roman" w:hAnsi="Times New Roman" w:eastAsia="仿宋_GB2312" w:cs="Times New Roman"/>
          <w:sz w:val="32"/>
          <w:szCs w:val="32"/>
        </w:rPr>
        <w:t>6</w:t>
      </w:r>
      <w:r>
        <w:rPr>
          <w:rFonts w:ascii="Times New Roman" w:hAnsi="Times New Roman" w:eastAsia="仿宋_GB2312" w:cs="Times New Roman"/>
          <w:sz w:val="32"/>
          <w:szCs w:val="32"/>
          <w:lang w:val="en-US"/>
        </w:rPr>
        <w:t>月8日</w:t>
      </w:r>
    </w:p>
    <w:p>
      <w:pPr>
        <w:pStyle w:val="2"/>
        <w:rPr>
          <w:rFonts w:hint="eastAsia"/>
          <w:lang w:val="en-US"/>
        </w:rPr>
      </w:pPr>
    </w:p>
    <w:p>
      <w:pPr>
        <w:pStyle w:val="2"/>
        <w:rPr>
          <w:rFonts w:hint="eastAsia"/>
          <w:lang w:val="en-US"/>
        </w:rPr>
      </w:pPr>
    </w:p>
    <w:p>
      <w:pPr>
        <w:pStyle w:val="2"/>
        <w:rPr>
          <w:lang w:val="en-US"/>
        </w:rPr>
        <w:sectPr>
          <w:footerReference r:id="rId3" w:type="default"/>
          <w:pgSz w:w="11910" w:h="16840"/>
          <w:pgMar w:top="1814" w:right="1418" w:bottom="1814" w:left="1588" w:header="720" w:footer="1117" w:gutter="0"/>
          <w:cols w:space="0" w:num="1"/>
        </w:sectPr>
      </w:pPr>
    </w:p>
    <w:p>
      <w:pPr>
        <w:pStyle w:val="3"/>
        <w:spacing w:line="560" w:lineRule="exact"/>
        <w:jc w:val="both"/>
        <w:rPr>
          <w:rFonts w:ascii="仿宋_GB2312" w:hAnsi="黑体" w:eastAsia="仿宋_GB2312" w:cs="黑体"/>
          <w:color w:val="000000"/>
        </w:rPr>
      </w:pPr>
      <w:r>
        <w:rPr>
          <w:rFonts w:ascii="仿宋_GB2312" w:hAnsi="黑体" w:eastAsia="仿宋_GB2312" w:cs="黑体"/>
          <w:color w:val="000000"/>
        </w:rPr>
        <w:t>附件一</w:t>
      </w:r>
    </w:p>
    <w:p>
      <w:pPr>
        <w:spacing w:before="61"/>
        <w:ind w:left="309"/>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 年度怀化市市场监管领域省级部门联合“双随机、一公开”</w:t>
      </w:r>
    </w:p>
    <w:p>
      <w:pPr>
        <w:spacing w:before="61"/>
        <w:ind w:left="309"/>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监管抽查工作计划</w:t>
      </w:r>
    </w:p>
    <w:p>
      <w:pPr>
        <w:pStyle w:val="3"/>
        <w:spacing w:before="7"/>
        <w:rPr>
          <w:rFonts w:asciiTheme="minorEastAsia" w:hAnsiTheme="minorEastAsia" w:eastAsiaTheme="minorEastAsia"/>
          <w:sz w:val="19"/>
        </w:rPr>
      </w:pPr>
    </w:p>
    <w:tbl>
      <w:tblPr>
        <w:tblStyle w:val="11"/>
        <w:tblW w:w="1544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85" w:type="dxa"/>
          <w:left w:w="85" w:type="dxa"/>
          <w:bottom w:w="85" w:type="dxa"/>
          <w:right w:w="85" w:type="dxa"/>
        </w:tblCellMar>
      </w:tblPr>
      <w:tblGrid>
        <w:gridCol w:w="918"/>
        <w:gridCol w:w="1560"/>
        <w:gridCol w:w="992"/>
        <w:gridCol w:w="1843"/>
        <w:gridCol w:w="709"/>
        <w:gridCol w:w="1701"/>
        <w:gridCol w:w="2551"/>
        <w:gridCol w:w="989"/>
        <w:gridCol w:w="728"/>
        <w:gridCol w:w="1507"/>
        <w:gridCol w:w="194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85" w:type="dxa"/>
            <w:left w:w="85" w:type="dxa"/>
            <w:bottom w:w="85" w:type="dxa"/>
            <w:right w:w="85" w:type="dxa"/>
          </w:tblCellMar>
        </w:tblPrEx>
        <w:trPr>
          <w:trHeight w:val="90" w:hRule="atLeast"/>
          <w:jc w:val="center"/>
        </w:trPr>
        <w:tc>
          <w:tcPr>
            <w:tcW w:w="918" w:type="dxa"/>
            <w:tcBorders>
              <w:top w:val="single" w:color="000000" w:sz="4" w:space="0"/>
              <w:right w:val="single" w:color="000000" w:sz="4" w:space="0"/>
            </w:tcBorders>
            <w:vAlign w:val="center"/>
          </w:tcPr>
          <w:p>
            <w:pPr>
              <w:pStyle w:val="10"/>
              <w:spacing w:before="17"/>
              <w:jc w:val="center"/>
              <w:rPr>
                <w:rFonts w:ascii="Times New Roman" w:hAnsi="Times New Roman" w:eastAsia="仿宋_GB2312" w:cs="Times New Roman"/>
                <w:color w:val="000000" w:themeColor="text1"/>
                <w:sz w:val="24"/>
                <w:szCs w:val="24"/>
              </w:rPr>
            </w:pPr>
            <w:r>
              <w:rPr>
                <w:rFonts w:hint="eastAsia" w:ascii="Microsoft JhengHei" w:eastAsia="Microsoft JhengHei"/>
                <w:b/>
                <w:sz w:val="24"/>
              </w:rPr>
              <w:t>抽查计划编号</w:t>
            </w:r>
          </w:p>
        </w:tc>
        <w:tc>
          <w:tcPr>
            <w:tcW w:w="1560" w:type="dxa"/>
            <w:tcBorders>
              <w:top w:val="single" w:color="000000" w:sz="4" w:space="0"/>
              <w:left w:val="single" w:color="000000" w:sz="4" w:space="0"/>
              <w:right w:val="single" w:color="000000" w:sz="4" w:space="0"/>
            </w:tcBorders>
            <w:vAlign w:val="center"/>
          </w:tcPr>
          <w:p>
            <w:pPr>
              <w:pStyle w:val="10"/>
              <w:jc w:val="center"/>
              <w:rPr>
                <w:rFonts w:ascii="Times New Roman" w:hAnsi="Times New Roman" w:eastAsia="仿宋_GB2312" w:cs="Times New Roman"/>
                <w:color w:val="000000" w:themeColor="text1"/>
                <w:sz w:val="24"/>
                <w:szCs w:val="24"/>
              </w:rPr>
            </w:pPr>
            <w:r>
              <w:rPr>
                <w:rFonts w:hint="eastAsia" w:ascii="Microsoft JhengHei" w:eastAsia="Microsoft JhengHei"/>
                <w:b/>
                <w:sz w:val="24"/>
              </w:rPr>
              <w:t>抽查计划名称</w:t>
            </w:r>
          </w:p>
        </w:tc>
        <w:tc>
          <w:tcPr>
            <w:tcW w:w="992" w:type="dxa"/>
            <w:tcBorders>
              <w:top w:val="single" w:color="000000" w:sz="4" w:space="0"/>
              <w:left w:val="single" w:color="000000" w:sz="4" w:space="0"/>
              <w:right w:val="single" w:color="000000" w:sz="4" w:space="0"/>
            </w:tcBorders>
            <w:vAlign w:val="center"/>
          </w:tcPr>
          <w:p>
            <w:pPr>
              <w:pStyle w:val="10"/>
              <w:spacing w:before="38"/>
              <w:jc w:val="center"/>
              <w:rPr>
                <w:rFonts w:ascii="Times New Roman" w:hAnsi="Times New Roman" w:eastAsia="仿宋_GB2312" w:cs="Times New Roman"/>
                <w:color w:val="000000" w:themeColor="text1"/>
                <w:sz w:val="24"/>
                <w:szCs w:val="24"/>
                <w:lang w:val="en-US"/>
              </w:rPr>
            </w:pPr>
            <w:r>
              <w:rPr>
                <w:rFonts w:hint="eastAsia" w:ascii="Microsoft JhengHei" w:eastAsia="Microsoft JhengHei"/>
                <w:b/>
                <w:sz w:val="24"/>
              </w:rPr>
              <w:t>抽查任务编号</w:t>
            </w:r>
          </w:p>
        </w:tc>
        <w:tc>
          <w:tcPr>
            <w:tcW w:w="1843" w:type="dxa"/>
            <w:tcBorders>
              <w:top w:val="single" w:color="000000" w:sz="4" w:space="0"/>
              <w:left w:val="single" w:color="000000" w:sz="4" w:space="0"/>
              <w:right w:val="single" w:color="000000" w:sz="4" w:space="0"/>
            </w:tcBorders>
            <w:vAlign w:val="center"/>
          </w:tcPr>
          <w:p>
            <w:pPr>
              <w:pStyle w:val="10"/>
              <w:spacing w:before="171"/>
              <w:jc w:val="center"/>
              <w:rPr>
                <w:rFonts w:ascii="Times New Roman" w:hAnsi="Times New Roman" w:eastAsia="仿宋_GB2312" w:cs="Times New Roman"/>
                <w:color w:val="000000" w:themeColor="text1"/>
                <w:sz w:val="24"/>
                <w:szCs w:val="24"/>
                <w:lang w:val="en-US"/>
              </w:rPr>
            </w:pPr>
            <w:r>
              <w:rPr>
                <w:rFonts w:hint="eastAsia" w:ascii="Microsoft JhengHei" w:eastAsia="Microsoft JhengHei"/>
                <w:b/>
                <w:sz w:val="24"/>
              </w:rPr>
              <w:t>抽查任务名称</w:t>
            </w:r>
          </w:p>
        </w:tc>
        <w:tc>
          <w:tcPr>
            <w:tcW w:w="709" w:type="dxa"/>
            <w:tcBorders>
              <w:top w:val="single" w:color="000000" w:sz="4" w:space="0"/>
              <w:left w:val="single" w:color="000000" w:sz="4" w:space="0"/>
              <w:right w:val="single" w:color="000000" w:sz="4" w:space="0"/>
            </w:tcBorders>
            <w:vAlign w:val="center"/>
          </w:tcPr>
          <w:p>
            <w:pPr>
              <w:pStyle w:val="10"/>
              <w:jc w:val="center"/>
              <w:rPr>
                <w:rFonts w:ascii="Times New Roman" w:hAnsi="Times New Roman" w:eastAsia="仿宋_GB2312" w:cs="Times New Roman"/>
                <w:color w:val="000000" w:themeColor="text1"/>
                <w:sz w:val="24"/>
                <w:szCs w:val="24"/>
              </w:rPr>
            </w:pPr>
            <w:r>
              <w:rPr>
                <w:rFonts w:hint="eastAsia" w:ascii="Microsoft JhengHei" w:eastAsia="Microsoft JhengHei"/>
                <w:b/>
                <w:sz w:val="24"/>
              </w:rPr>
              <w:t>抽查类型</w:t>
            </w:r>
          </w:p>
        </w:tc>
        <w:tc>
          <w:tcPr>
            <w:tcW w:w="1701" w:type="dxa"/>
            <w:tcBorders>
              <w:top w:val="single" w:color="000000" w:sz="4" w:space="0"/>
              <w:left w:val="single" w:color="000000" w:sz="4" w:space="0"/>
              <w:right w:val="single" w:color="000000" w:sz="4" w:space="0"/>
            </w:tcBorders>
            <w:vAlign w:val="center"/>
          </w:tcPr>
          <w:p>
            <w:pPr>
              <w:jc w:val="both"/>
              <w:rPr>
                <w:rFonts w:ascii="Times New Roman" w:hAnsi="Times New Roman" w:eastAsia="仿宋_GB2312" w:cs="Times New Roman"/>
                <w:color w:val="000000" w:themeColor="text1"/>
                <w:sz w:val="24"/>
                <w:szCs w:val="24"/>
                <w:lang w:val="en-US"/>
              </w:rPr>
            </w:pPr>
            <w:r>
              <w:rPr>
                <w:rFonts w:hint="eastAsia" w:ascii="Microsoft JhengHei" w:eastAsia="Microsoft JhengHei"/>
                <w:b/>
                <w:sz w:val="24"/>
              </w:rPr>
              <w:t>抽查事项</w:t>
            </w:r>
          </w:p>
        </w:tc>
        <w:tc>
          <w:tcPr>
            <w:tcW w:w="2551" w:type="dxa"/>
            <w:tcBorders>
              <w:top w:val="single" w:color="000000" w:sz="4" w:space="0"/>
              <w:left w:val="single" w:color="000000" w:sz="4" w:space="0"/>
              <w:right w:val="single" w:color="000000" w:sz="4" w:space="0"/>
            </w:tcBorders>
            <w:vAlign w:val="center"/>
          </w:tcPr>
          <w:p>
            <w:pPr>
              <w:jc w:val="center"/>
              <w:rPr>
                <w:rFonts w:ascii="Times New Roman" w:hAnsi="Times New Roman" w:eastAsia="仿宋_GB2312" w:cs="Times New Roman"/>
                <w:color w:val="000000" w:themeColor="text1"/>
                <w:sz w:val="24"/>
                <w:szCs w:val="24"/>
                <w:lang w:val="en-US"/>
              </w:rPr>
            </w:pPr>
            <w:r>
              <w:rPr>
                <w:rFonts w:hint="eastAsia" w:ascii="Microsoft JhengHei" w:eastAsia="Microsoft JhengHei"/>
                <w:b/>
                <w:sz w:val="24"/>
              </w:rPr>
              <w:t>抽查对象范围</w:t>
            </w:r>
          </w:p>
        </w:tc>
        <w:tc>
          <w:tcPr>
            <w:tcW w:w="989" w:type="dxa"/>
            <w:tcBorders>
              <w:top w:val="single" w:color="000000" w:sz="4" w:space="0"/>
              <w:left w:val="single" w:color="000000" w:sz="4" w:space="0"/>
              <w:right w:val="single" w:color="000000" w:sz="4" w:space="0"/>
            </w:tcBorders>
            <w:vAlign w:val="center"/>
          </w:tcPr>
          <w:p>
            <w:pPr>
              <w:jc w:val="center"/>
              <w:rPr>
                <w:rFonts w:ascii="Times New Roman" w:hAnsi="Times New Roman" w:eastAsia="仿宋_GB2312" w:cs="Times New Roman"/>
                <w:color w:val="000000" w:themeColor="text1"/>
                <w:sz w:val="24"/>
                <w:szCs w:val="24"/>
                <w:lang w:val="en-US"/>
              </w:rPr>
            </w:pPr>
            <w:r>
              <w:rPr>
                <w:rFonts w:hint="eastAsia" w:ascii="Microsoft JhengHei" w:eastAsia="Microsoft JhengHei"/>
                <w:b/>
                <w:sz w:val="24"/>
              </w:rPr>
              <w:t>抽取比例</w:t>
            </w:r>
          </w:p>
        </w:tc>
        <w:tc>
          <w:tcPr>
            <w:tcW w:w="728" w:type="dxa"/>
            <w:tcBorders>
              <w:top w:val="single" w:color="000000" w:sz="4" w:space="0"/>
              <w:left w:val="single" w:color="000000" w:sz="4" w:space="0"/>
              <w:right w:val="single" w:color="000000" w:sz="4" w:space="0"/>
            </w:tcBorders>
            <w:vAlign w:val="center"/>
          </w:tcPr>
          <w:p>
            <w:pPr>
              <w:jc w:val="center"/>
              <w:rPr>
                <w:rFonts w:ascii="Times New Roman" w:hAnsi="Times New Roman" w:eastAsia="仿宋_GB2312" w:cs="Times New Roman"/>
                <w:color w:val="000000" w:themeColor="text1"/>
                <w:sz w:val="24"/>
                <w:szCs w:val="24"/>
                <w:lang w:val="en-US"/>
              </w:rPr>
            </w:pPr>
            <w:r>
              <w:rPr>
                <w:rFonts w:hint="eastAsia" w:ascii="Microsoft JhengHei" w:eastAsia="Microsoft JhengHei"/>
                <w:b/>
                <w:sz w:val="24"/>
              </w:rPr>
              <w:t>实施期限</w:t>
            </w:r>
          </w:p>
        </w:tc>
        <w:tc>
          <w:tcPr>
            <w:tcW w:w="1507" w:type="dxa"/>
            <w:tcBorders>
              <w:top w:val="single" w:color="000000" w:sz="4" w:space="0"/>
              <w:left w:val="single" w:color="000000" w:sz="4" w:space="0"/>
              <w:right w:val="single" w:color="000000" w:sz="4" w:space="0"/>
            </w:tcBorders>
            <w:vAlign w:val="center"/>
          </w:tcPr>
          <w:p>
            <w:pPr>
              <w:jc w:val="center"/>
              <w:rPr>
                <w:rFonts w:ascii="Times New Roman" w:hAnsi="Times New Roman" w:eastAsia="仿宋_GB2312" w:cs="Times New Roman"/>
                <w:color w:val="000000" w:themeColor="text1"/>
                <w:sz w:val="24"/>
                <w:szCs w:val="24"/>
                <w:lang w:val="en-US"/>
              </w:rPr>
            </w:pPr>
            <w:r>
              <w:rPr>
                <w:rFonts w:hint="eastAsia" w:ascii="Microsoft JhengHei" w:eastAsia="Microsoft JhengHei"/>
                <w:b/>
                <w:sz w:val="24"/>
              </w:rPr>
              <w:t>发起部门</w:t>
            </w:r>
          </w:p>
        </w:tc>
        <w:tc>
          <w:tcPr>
            <w:tcW w:w="1947" w:type="dxa"/>
            <w:tcBorders>
              <w:top w:val="single" w:color="000000" w:sz="4" w:space="0"/>
              <w:left w:val="single" w:color="000000" w:sz="4" w:space="0"/>
            </w:tcBorders>
            <w:vAlign w:val="center"/>
          </w:tcPr>
          <w:p>
            <w:pPr>
              <w:pStyle w:val="10"/>
              <w:spacing w:before="7"/>
              <w:jc w:val="center"/>
              <w:rPr>
                <w:rFonts w:ascii="Times New Roman" w:hAnsi="Times New Roman" w:eastAsia="仿宋_GB2312" w:cs="Times New Roman"/>
                <w:color w:val="000000" w:themeColor="text1"/>
                <w:sz w:val="24"/>
                <w:szCs w:val="24"/>
              </w:rPr>
            </w:pPr>
            <w:r>
              <w:rPr>
                <w:rFonts w:hint="eastAsia" w:ascii="Microsoft JhengHei" w:eastAsia="Microsoft JhengHei"/>
                <w:b/>
                <w:sz w:val="24"/>
              </w:rPr>
              <w:t>配合部门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271" w:hRule="atLeast"/>
          <w:jc w:val="center"/>
        </w:trPr>
        <w:tc>
          <w:tcPr>
            <w:tcW w:w="918" w:type="dxa"/>
            <w:vMerge w:val="restart"/>
            <w:tcBorders>
              <w:top w:val="single" w:color="000000" w:sz="4" w:space="0"/>
              <w:right w:val="single" w:color="000000" w:sz="4" w:space="0"/>
            </w:tcBorders>
            <w:vAlign w:val="center"/>
          </w:tcPr>
          <w:p>
            <w:pPr>
              <w:pStyle w:val="10"/>
              <w:spacing w:before="17"/>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431200</w:t>
            </w:r>
          </w:p>
          <w:p>
            <w:pPr>
              <w:pStyle w:val="10"/>
              <w:spacing w:before="17"/>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2021</w:t>
            </w:r>
          </w:p>
          <w:p>
            <w:pPr>
              <w:pStyle w:val="10"/>
              <w:spacing w:before="17"/>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4011</w:t>
            </w:r>
          </w:p>
        </w:tc>
        <w:tc>
          <w:tcPr>
            <w:tcW w:w="1560" w:type="dxa"/>
            <w:tcBorders>
              <w:top w:val="single" w:color="000000" w:sz="4" w:space="0"/>
              <w:left w:val="single" w:color="000000" w:sz="4" w:space="0"/>
              <w:right w:val="single" w:color="000000" w:sz="4" w:space="0"/>
            </w:tcBorders>
            <w:vAlign w:val="center"/>
          </w:tcPr>
          <w:p>
            <w:pPr>
              <w:pStyle w:val="10"/>
              <w:spacing w:before="3"/>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怀化市统计局 2021</w:t>
            </w:r>
          </w:p>
          <w:p>
            <w:pPr>
              <w:pStyle w:val="1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年度部门联合抽查工作计划</w:t>
            </w:r>
          </w:p>
        </w:tc>
        <w:tc>
          <w:tcPr>
            <w:tcW w:w="992" w:type="dxa"/>
            <w:tcBorders>
              <w:top w:val="single" w:color="000000" w:sz="4" w:space="0"/>
              <w:left w:val="single" w:color="000000" w:sz="4" w:space="0"/>
              <w:right w:val="single" w:color="000000" w:sz="4" w:space="0"/>
            </w:tcBorders>
            <w:vAlign w:val="center"/>
          </w:tcPr>
          <w:p>
            <w:pPr>
              <w:pStyle w:val="10"/>
              <w:spacing w:before="12"/>
              <w:jc w:val="center"/>
              <w:rPr>
                <w:rFonts w:ascii="Times New Roman" w:hAnsi="Times New Roman" w:eastAsia="仿宋_GB2312" w:cs="Times New Roman"/>
                <w:color w:val="000000" w:themeColor="text1"/>
                <w:sz w:val="24"/>
                <w:szCs w:val="24"/>
              </w:rPr>
            </w:pPr>
          </w:p>
          <w:p>
            <w:pPr>
              <w:pStyle w:val="1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431200</w:t>
            </w:r>
          </w:p>
          <w:p>
            <w:pPr>
              <w:pStyle w:val="10"/>
              <w:spacing w:before="38"/>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2021</w:t>
            </w:r>
          </w:p>
          <w:p>
            <w:pPr>
              <w:pStyle w:val="10"/>
              <w:spacing w:before="4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0422</w:t>
            </w:r>
          </w:p>
          <w:p>
            <w:pPr>
              <w:pStyle w:val="10"/>
              <w:spacing w:before="38"/>
              <w:jc w:val="center"/>
              <w:rPr>
                <w:rFonts w:ascii="Times New Roman" w:hAnsi="Times New Roman" w:eastAsia="仿宋_GB2312" w:cs="Times New Roman"/>
                <w:color w:val="000000" w:themeColor="text1"/>
                <w:sz w:val="24"/>
                <w:szCs w:val="24"/>
                <w:lang w:val="en-US"/>
              </w:rPr>
            </w:pPr>
            <w:r>
              <w:rPr>
                <w:rFonts w:ascii="Times New Roman" w:hAnsi="Times New Roman" w:eastAsia="仿宋_GB2312" w:cs="Times New Roman"/>
                <w:color w:val="000000" w:themeColor="text1"/>
                <w:sz w:val="24"/>
                <w:szCs w:val="24"/>
                <w:lang w:val="en-US"/>
              </w:rPr>
              <w:t>1101</w:t>
            </w:r>
          </w:p>
        </w:tc>
        <w:tc>
          <w:tcPr>
            <w:tcW w:w="1843" w:type="dxa"/>
            <w:tcBorders>
              <w:top w:val="single" w:color="000000" w:sz="4" w:space="0"/>
              <w:left w:val="single" w:color="000000" w:sz="4" w:space="0"/>
              <w:right w:val="single" w:color="000000" w:sz="4" w:space="0"/>
            </w:tcBorders>
            <w:vAlign w:val="center"/>
          </w:tcPr>
          <w:p>
            <w:pPr>
              <w:pStyle w:val="10"/>
              <w:jc w:val="center"/>
              <w:rPr>
                <w:rFonts w:ascii="Times New Roman" w:hAnsi="Times New Roman" w:eastAsia="仿宋_GB2312" w:cs="Times New Roman"/>
                <w:color w:val="000000" w:themeColor="text1"/>
                <w:sz w:val="24"/>
                <w:szCs w:val="24"/>
              </w:rPr>
            </w:pPr>
          </w:p>
          <w:p>
            <w:pPr>
              <w:pStyle w:val="10"/>
              <w:spacing w:before="171"/>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lang w:val="en-US"/>
              </w:rPr>
              <w:t>企业涉外调查</w:t>
            </w:r>
          </w:p>
          <w:p>
            <w:pPr>
              <w:pStyle w:val="10"/>
              <w:spacing w:before="171"/>
              <w:jc w:val="center"/>
              <w:rPr>
                <w:rFonts w:ascii="Times New Roman" w:hAnsi="Times New Roman" w:eastAsia="仿宋_GB2312" w:cs="Times New Roman"/>
                <w:color w:val="000000" w:themeColor="text1"/>
                <w:sz w:val="24"/>
                <w:szCs w:val="24"/>
                <w:shd w:val="clear" w:color="auto" w:fill="FFFFFF"/>
              </w:rPr>
            </w:pPr>
            <w:r>
              <w:rPr>
                <w:rFonts w:ascii="Times New Roman" w:hAnsi="Times New Roman" w:eastAsia="仿宋_GB2312" w:cs="Times New Roman"/>
                <w:color w:val="000000" w:themeColor="text1"/>
                <w:sz w:val="24"/>
                <w:szCs w:val="24"/>
                <w:lang w:val="en-US"/>
              </w:rPr>
              <w:t>检查</w:t>
            </w:r>
          </w:p>
        </w:tc>
        <w:tc>
          <w:tcPr>
            <w:tcW w:w="709" w:type="dxa"/>
            <w:tcBorders>
              <w:top w:val="single" w:color="000000" w:sz="4" w:space="0"/>
              <w:left w:val="single" w:color="000000" w:sz="4" w:space="0"/>
              <w:right w:val="single" w:color="000000" w:sz="4" w:space="0"/>
            </w:tcBorders>
            <w:vAlign w:val="center"/>
          </w:tcPr>
          <w:p>
            <w:pPr>
              <w:pStyle w:val="1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定向</w:t>
            </w:r>
          </w:p>
        </w:tc>
        <w:tc>
          <w:tcPr>
            <w:tcW w:w="1701" w:type="dxa"/>
            <w:tcBorders>
              <w:top w:val="single" w:color="000000" w:sz="4" w:space="0"/>
              <w:left w:val="single" w:color="000000" w:sz="4" w:space="0"/>
              <w:right w:val="single" w:color="000000" w:sz="4" w:space="0"/>
            </w:tcBorders>
            <w:vAlign w:val="center"/>
          </w:tcPr>
          <w:p>
            <w:pPr>
              <w:pStyle w:val="10"/>
              <w:jc w:val="both"/>
              <w:rPr>
                <w:rFonts w:ascii="Times New Roman" w:hAnsi="Times New Roman" w:eastAsia="仿宋_GB2312" w:cs="Times New Roman"/>
                <w:color w:val="000000" w:themeColor="text1"/>
                <w:sz w:val="24"/>
                <w:szCs w:val="24"/>
              </w:rPr>
            </w:pPr>
          </w:p>
          <w:p>
            <w:pPr>
              <w:jc w:val="both"/>
              <w:rPr>
                <w:rFonts w:ascii="Times New Roman" w:hAnsi="Times New Roman" w:eastAsia="仿宋_GB2312" w:cs="Times New Roman"/>
                <w:color w:val="000000" w:themeColor="text1"/>
                <w:sz w:val="24"/>
                <w:szCs w:val="24"/>
                <w:shd w:val="clear" w:color="auto" w:fill="FFFFFF"/>
              </w:rPr>
            </w:pPr>
            <w:r>
              <w:rPr>
                <w:rFonts w:ascii="Times New Roman" w:hAnsi="Times New Roman" w:eastAsia="仿宋_GB2312" w:cs="Times New Roman"/>
                <w:color w:val="000000" w:themeColor="text1"/>
                <w:sz w:val="24"/>
                <w:szCs w:val="24"/>
                <w:lang w:val="en-US"/>
              </w:rPr>
              <w:t>企业涉外调查资格及涉外调查项目检查</w:t>
            </w:r>
          </w:p>
        </w:tc>
        <w:tc>
          <w:tcPr>
            <w:tcW w:w="2551" w:type="dxa"/>
            <w:tcBorders>
              <w:top w:val="single" w:color="000000" w:sz="4" w:space="0"/>
              <w:left w:val="single" w:color="000000" w:sz="4" w:space="0"/>
              <w:right w:val="single" w:color="000000" w:sz="4" w:space="0"/>
            </w:tcBorders>
            <w:vAlign w:val="center"/>
          </w:tcPr>
          <w:p>
            <w:pPr>
              <w:jc w:val="center"/>
              <w:rPr>
                <w:rFonts w:ascii="Times New Roman" w:hAnsi="Times New Roman" w:eastAsia="仿宋_GB2312" w:cs="Times New Roman"/>
                <w:color w:val="000000" w:themeColor="text1"/>
                <w:sz w:val="24"/>
                <w:szCs w:val="24"/>
                <w:shd w:val="clear" w:color="auto" w:fill="FFFFFF"/>
              </w:rPr>
            </w:pPr>
            <w:r>
              <w:rPr>
                <w:rFonts w:ascii="Times New Roman" w:hAnsi="Times New Roman" w:eastAsia="仿宋_GB2312" w:cs="Times New Roman"/>
                <w:color w:val="000000" w:themeColor="text1"/>
                <w:sz w:val="24"/>
                <w:szCs w:val="24"/>
                <w:lang w:val="en-US"/>
              </w:rPr>
              <w:t>未获得涉外调查许可证的企业（营业范围中含有统计、 统计调查等内容的）</w:t>
            </w:r>
          </w:p>
        </w:tc>
        <w:tc>
          <w:tcPr>
            <w:tcW w:w="989" w:type="dxa"/>
            <w:tcBorders>
              <w:top w:val="single" w:color="000000" w:sz="4" w:space="0"/>
              <w:left w:val="single" w:color="000000" w:sz="4" w:space="0"/>
              <w:right w:val="single" w:color="000000" w:sz="4" w:space="0"/>
            </w:tcBorders>
            <w:vAlign w:val="center"/>
          </w:tcPr>
          <w:p>
            <w:pPr>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lang w:val="en-US"/>
              </w:rPr>
              <w:t>5%</w:t>
            </w:r>
          </w:p>
        </w:tc>
        <w:tc>
          <w:tcPr>
            <w:tcW w:w="728" w:type="dxa"/>
            <w:tcBorders>
              <w:top w:val="single" w:color="000000" w:sz="4" w:space="0"/>
              <w:left w:val="single" w:color="000000" w:sz="4" w:space="0"/>
              <w:right w:val="single" w:color="000000" w:sz="4" w:space="0"/>
            </w:tcBorders>
            <w:vAlign w:val="center"/>
          </w:tcPr>
          <w:p>
            <w:pPr>
              <w:jc w:val="center"/>
              <w:rPr>
                <w:rFonts w:ascii="Times New Roman" w:hAnsi="Times New Roman" w:eastAsia="仿宋_GB2312" w:cs="Times New Roman"/>
                <w:color w:val="000000" w:themeColor="text1"/>
                <w:sz w:val="24"/>
                <w:szCs w:val="24"/>
                <w:lang w:val="en-US"/>
              </w:rPr>
            </w:pPr>
            <w:r>
              <w:rPr>
                <w:rFonts w:ascii="Times New Roman" w:hAnsi="Times New Roman" w:eastAsia="仿宋_GB2312" w:cs="Times New Roman"/>
                <w:color w:val="000000" w:themeColor="text1"/>
                <w:sz w:val="24"/>
                <w:szCs w:val="24"/>
                <w:lang w:val="en-US"/>
              </w:rPr>
              <w:t>6 月至</w:t>
            </w:r>
          </w:p>
          <w:p>
            <w:pPr>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lang w:val="en-US"/>
              </w:rPr>
              <w:t>9 月</w:t>
            </w:r>
          </w:p>
        </w:tc>
        <w:tc>
          <w:tcPr>
            <w:tcW w:w="1507" w:type="dxa"/>
            <w:tcBorders>
              <w:top w:val="single" w:color="000000" w:sz="4" w:space="0"/>
              <w:left w:val="single" w:color="000000" w:sz="4" w:space="0"/>
              <w:right w:val="single" w:color="000000" w:sz="4" w:space="0"/>
            </w:tcBorders>
            <w:vAlign w:val="center"/>
          </w:tcPr>
          <w:p>
            <w:pPr>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lang w:val="en-US"/>
              </w:rPr>
              <w:t>市统计局</w:t>
            </w:r>
          </w:p>
          <w:p>
            <w:pPr>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lang w:val="en-US"/>
              </w:rPr>
              <w:t>(执法监督</w:t>
            </w:r>
          </w:p>
          <w:p>
            <w:pPr>
              <w:jc w:val="center"/>
              <w:rPr>
                <w:rFonts w:ascii="Times New Roman" w:hAnsi="Times New Roman" w:eastAsia="仿宋_GB2312" w:cs="Times New Roman"/>
                <w:color w:val="000000" w:themeColor="text1"/>
                <w:spacing w:val="50"/>
                <w:sz w:val="24"/>
                <w:szCs w:val="24"/>
              </w:rPr>
            </w:pPr>
            <w:r>
              <w:rPr>
                <w:rFonts w:ascii="Times New Roman" w:hAnsi="Times New Roman" w:eastAsia="仿宋_GB2312" w:cs="Times New Roman"/>
                <w:color w:val="000000" w:themeColor="text1"/>
                <w:sz w:val="24"/>
                <w:szCs w:val="24"/>
                <w:lang w:val="en-US"/>
              </w:rPr>
              <w:t>科)</w:t>
            </w:r>
          </w:p>
        </w:tc>
        <w:tc>
          <w:tcPr>
            <w:tcW w:w="1947" w:type="dxa"/>
            <w:tcBorders>
              <w:top w:val="single" w:color="000000" w:sz="4" w:space="0"/>
              <w:left w:val="single" w:color="000000" w:sz="4" w:space="0"/>
            </w:tcBorders>
            <w:vAlign w:val="center"/>
          </w:tcPr>
          <w:p>
            <w:pPr>
              <w:pStyle w:val="10"/>
              <w:spacing w:before="153"/>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pacing w:val="17"/>
                <w:sz w:val="24"/>
                <w:szCs w:val="24"/>
              </w:rPr>
              <w:t>市市场监管局</w:t>
            </w:r>
          </w:p>
          <w:p>
            <w:pPr>
              <w:pStyle w:val="10"/>
              <w:spacing w:before="7"/>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（信用监管科</w:t>
            </w:r>
            <w:r>
              <w:rPr>
                <w:rFonts w:ascii="Times New Roman" w:hAnsi="Times New Roman" w:eastAsia="仿宋_GB2312" w:cs="Times New Roman"/>
                <w:color w:val="000000" w:themeColor="text1"/>
                <w:spacing w:val="-50"/>
                <w:sz w:val="24"/>
                <w:szCs w:val="24"/>
              </w:rPr>
              <w:t>）</w:t>
            </w:r>
            <w:r>
              <w:rPr>
                <w:rFonts w:ascii="Times New Roman" w:hAnsi="Times New Roman" w:eastAsia="仿宋_GB2312" w:cs="Times New Roman"/>
                <w:color w:val="000000" w:themeColor="text1"/>
                <w:spacing w:val="-25"/>
                <w:sz w:val="24"/>
                <w:szCs w:val="24"/>
              </w:rPr>
              <w:t>、市</w:t>
            </w:r>
            <w:r>
              <w:rPr>
                <w:rFonts w:ascii="Times New Roman" w:hAnsi="Times New Roman" w:eastAsia="仿宋_GB2312" w:cs="Times New Roman"/>
                <w:color w:val="000000" w:themeColor="text1"/>
                <w:spacing w:val="-50"/>
                <w:sz w:val="24"/>
                <w:szCs w:val="24"/>
              </w:rPr>
              <w:t>商务局</w:t>
            </w:r>
            <w:r>
              <w:rPr>
                <w:rFonts w:ascii="Times New Roman" w:hAnsi="Times New Roman" w:eastAsia="仿宋_GB2312" w:cs="Times New Roman"/>
                <w:color w:val="000000" w:themeColor="text1"/>
                <w:sz w:val="24"/>
                <w:szCs w:val="24"/>
              </w:rPr>
              <w:t>（投资管理和对外经济合作科）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271" w:hRule="atLeast"/>
          <w:jc w:val="center"/>
        </w:trPr>
        <w:tc>
          <w:tcPr>
            <w:tcW w:w="918" w:type="dxa"/>
            <w:vMerge w:val="continue"/>
            <w:vAlign w:val="center"/>
          </w:tcPr>
          <w:p>
            <w:pPr>
              <w:pStyle w:val="10"/>
              <w:spacing w:before="58"/>
              <w:jc w:val="center"/>
              <w:rPr>
                <w:rFonts w:ascii="Times New Roman" w:hAnsi="Times New Roman" w:eastAsia="仿宋_GB2312" w:cs="Times New Roman"/>
                <w:color w:val="000000" w:themeColor="text1"/>
                <w:sz w:val="24"/>
                <w:szCs w:val="24"/>
              </w:rPr>
            </w:pPr>
          </w:p>
        </w:tc>
        <w:tc>
          <w:tcPr>
            <w:tcW w:w="1560" w:type="dxa"/>
            <w:vAlign w:val="center"/>
          </w:tcPr>
          <w:p>
            <w:pPr>
              <w:pStyle w:val="10"/>
              <w:spacing w:before="3"/>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怀化市统计局 2021年度部门联合抽查工作计划</w:t>
            </w:r>
          </w:p>
        </w:tc>
        <w:tc>
          <w:tcPr>
            <w:tcW w:w="992" w:type="dxa"/>
            <w:vAlign w:val="center"/>
          </w:tcPr>
          <w:p>
            <w:pPr>
              <w:pStyle w:val="1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431200</w:t>
            </w:r>
          </w:p>
          <w:p>
            <w:pPr>
              <w:pStyle w:val="10"/>
              <w:spacing w:before="38"/>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2021</w:t>
            </w:r>
          </w:p>
          <w:p>
            <w:pPr>
              <w:pStyle w:val="10"/>
              <w:spacing w:before="4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0422</w:t>
            </w:r>
          </w:p>
          <w:p>
            <w:pPr>
              <w:pStyle w:val="10"/>
              <w:spacing w:before="38"/>
              <w:jc w:val="center"/>
              <w:rPr>
                <w:rFonts w:ascii="Times New Roman" w:hAnsi="Times New Roman" w:eastAsia="仿宋_GB2312" w:cs="Times New Roman"/>
                <w:color w:val="000000" w:themeColor="text1"/>
                <w:sz w:val="24"/>
                <w:szCs w:val="24"/>
                <w:lang w:val="en-US"/>
              </w:rPr>
            </w:pPr>
            <w:r>
              <w:rPr>
                <w:rFonts w:ascii="Times New Roman" w:hAnsi="Times New Roman" w:eastAsia="仿宋_GB2312" w:cs="Times New Roman"/>
                <w:color w:val="000000" w:themeColor="text1"/>
                <w:sz w:val="24"/>
                <w:szCs w:val="24"/>
                <w:lang w:val="en-US"/>
              </w:rPr>
              <w:t>1102</w:t>
            </w:r>
          </w:p>
        </w:tc>
        <w:tc>
          <w:tcPr>
            <w:tcW w:w="1843" w:type="dxa"/>
            <w:vAlign w:val="center"/>
          </w:tcPr>
          <w:p>
            <w:pPr>
              <w:pStyle w:val="10"/>
              <w:jc w:val="center"/>
              <w:rPr>
                <w:rFonts w:ascii="Times New Roman" w:hAnsi="Times New Roman" w:eastAsia="仿宋_GB2312" w:cs="Times New Roman"/>
                <w:color w:val="000000" w:themeColor="text1"/>
                <w:sz w:val="24"/>
                <w:szCs w:val="24"/>
                <w:shd w:val="clear" w:color="auto" w:fill="FFFFFF"/>
              </w:rPr>
            </w:pPr>
            <w:r>
              <w:rPr>
                <w:rFonts w:ascii="Times New Roman" w:hAnsi="Times New Roman" w:eastAsia="仿宋_GB2312" w:cs="Times New Roman"/>
                <w:color w:val="000000" w:themeColor="text1"/>
                <w:sz w:val="24"/>
                <w:szCs w:val="24"/>
              </w:rPr>
              <w:t>企业“调查对象依法设置原始记录、统计台账”联合抽查</w:t>
            </w:r>
          </w:p>
        </w:tc>
        <w:tc>
          <w:tcPr>
            <w:tcW w:w="709" w:type="dxa"/>
            <w:vAlign w:val="center"/>
          </w:tcPr>
          <w:p>
            <w:pPr>
              <w:pStyle w:val="1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lang w:val="en-US"/>
              </w:rPr>
              <w:t>定向</w:t>
            </w:r>
          </w:p>
        </w:tc>
        <w:tc>
          <w:tcPr>
            <w:tcW w:w="1701" w:type="dxa"/>
            <w:vAlign w:val="center"/>
          </w:tcPr>
          <w:p>
            <w:pPr>
              <w:pStyle w:val="10"/>
              <w:jc w:val="both"/>
              <w:rPr>
                <w:rFonts w:ascii="Times New Roman" w:hAnsi="Times New Roman" w:eastAsia="仿宋_GB2312" w:cs="Times New Roman"/>
                <w:color w:val="000000" w:themeColor="text1"/>
                <w:sz w:val="24"/>
                <w:szCs w:val="24"/>
                <w:shd w:val="clear" w:color="auto" w:fill="FFFFFF"/>
              </w:rPr>
            </w:pPr>
            <w:r>
              <w:rPr>
                <w:rFonts w:ascii="Times New Roman" w:hAnsi="Times New Roman" w:eastAsia="仿宋_GB2312" w:cs="Times New Roman"/>
                <w:color w:val="000000" w:themeColor="text1"/>
                <w:sz w:val="24"/>
                <w:szCs w:val="24"/>
              </w:rPr>
              <w:t>企业是否依法设置原始记录、统计台账</w:t>
            </w:r>
          </w:p>
        </w:tc>
        <w:tc>
          <w:tcPr>
            <w:tcW w:w="2551" w:type="dxa"/>
            <w:vAlign w:val="center"/>
          </w:tcPr>
          <w:p>
            <w:pPr>
              <w:pStyle w:val="10"/>
              <w:spacing w:before="153"/>
              <w:jc w:val="center"/>
              <w:rPr>
                <w:rFonts w:ascii="Times New Roman" w:hAnsi="Times New Roman" w:eastAsia="仿宋_GB2312" w:cs="Times New Roman"/>
                <w:color w:val="000000" w:themeColor="text1"/>
                <w:sz w:val="24"/>
                <w:szCs w:val="24"/>
                <w:shd w:val="clear" w:color="auto" w:fill="FFFFFF"/>
              </w:rPr>
            </w:pPr>
            <w:r>
              <w:rPr>
                <w:rFonts w:ascii="Times New Roman" w:hAnsi="Times New Roman" w:eastAsia="仿宋_GB2312" w:cs="Times New Roman"/>
                <w:color w:val="000000" w:themeColor="text1"/>
                <w:sz w:val="24"/>
                <w:szCs w:val="24"/>
              </w:rPr>
              <w:t>联网直报的“四上”企业</w:t>
            </w:r>
          </w:p>
        </w:tc>
        <w:tc>
          <w:tcPr>
            <w:tcW w:w="989" w:type="dxa"/>
            <w:vAlign w:val="center"/>
          </w:tcPr>
          <w:p>
            <w:pPr>
              <w:pStyle w:val="10"/>
              <w:spacing w:before="185"/>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企业 2%</w:t>
            </w:r>
          </w:p>
        </w:tc>
        <w:tc>
          <w:tcPr>
            <w:tcW w:w="728" w:type="dxa"/>
            <w:vAlign w:val="center"/>
          </w:tcPr>
          <w:p>
            <w:pPr>
              <w:pStyle w:val="1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10月至 12月</w:t>
            </w:r>
          </w:p>
        </w:tc>
        <w:tc>
          <w:tcPr>
            <w:tcW w:w="1507" w:type="dxa"/>
            <w:vAlign w:val="center"/>
          </w:tcPr>
          <w:p>
            <w:pPr>
              <w:pStyle w:val="10"/>
              <w:jc w:val="center"/>
              <w:rPr>
                <w:rFonts w:ascii="Times New Roman" w:hAnsi="Times New Roman" w:eastAsia="仿宋_GB2312" w:cs="Times New Roman"/>
                <w:color w:val="000000" w:themeColor="text1"/>
                <w:spacing w:val="50"/>
                <w:sz w:val="24"/>
                <w:szCs w:val="24"/>
              </w:rPr>
            </w:pPr>
            <w:r>
              <w:rPr>
                <w:rFonts w:ascii="Times New Roman" w:hAnsi="Times New Roman" w:eastAsia="仿宋_GB2312" w:cs="Times New Roman"/>
                <w:color w:val="000000" w:themeColor="text1"/>
                <w:sz w:val="24"/>
                <w:szCs w:val="24"/>
                <w:lang w:val="en-US"/>
              </w:rPr>
              <w:t>市统计局 (执法监督 科)</w:t>
            </w:r>
          </w:p>
        </w:tc>
        <w:tc>
          <w:tcPr>
            <w:tcW w:w="1947" w:type="dxa"/>
            <w:vAlign w:val="center"/>
          </w:tcPr>
          <w:p>
            <w:pPr>
              <w:pStyle w:val="10"/>
              <w:jc w:val="center"/>
              <w:rPr>
                <w:rFonts w:ascii="Times New Roman" w:hAnsi="Times New Roman" w:eastAsia="仿宋_GB2312" w:cs="Times New Roman"/>
                <w:color w:val="000000" w:themeColor="text1"/>
                <w:sz w:val="24"/>
                <w:szCs w:val="24"/>
              </w:rPr>
            </w:pPr>
            <w:r>
              <w:rPr>
                <w:rFonts w:ascii="Times New Roman" w:hAnsi="Times New Roman" w:eastAsia="仿宋_GB2312" w:cs="Times New Roman"/>
                <w:color w:val="000000" w:themeColor="text1"/>
                <w:sz w:val="24"/>
                <w:szCs w:val="24"/>
              </w:rPr>
              <w:t>市商务局（市场运行和消费促进科）、市住建局</w:t>
            </w:r>
          </w:p>
        </w:tc>
      </w:tr>
    </w:tbl>
    <w:p>
      <w:pPr>
        <w:pStyle w:val="3"/>
        <w:spacing w:before="10"/>
        <w:rPr>
          <w:rFonts w:asciiTheme="minorEastAsia" w:hAnsiTheme="minorEastAsia" w:eastAsiaTheme="minorEastAsia"/>
          <w:sz w:val="28"/>
        </w:rPr>
        <w:sectPr>
          <w:pgSz w:w="16840" w:h="11910" w:orient="landscape"/>
          <w:pgMar w:top="1588" w:right="1985" w:bottom="1418" w:left="1814" w:header="720" w:footer="1117" w:gutter="0"/>
          <w:cols w:space="0" w:num="1"/>
        </w:sectPr>
      </w:pPr>
    </w:p>
    <w:p>
      <w:pPr>
        <w:pStyle w:val="3"/>
        <w:spacing w:line="560" w:lineRule="exact"/>
        <w:jc w:val="both"/>
        <w:rPr>
          <w:rFonts w:ascii="仿宋_GB2312" w:hAnsi="黑体" w:eastAsia="仿宋_GB2312" w:cs="黑体"/>
          <w:color w:val="000000"/>
          <w:lang w:val="en-US"/>
        </w:rPr>
      </w:pPr>
      <w:r>
        <w:rPr>
          <w:rFonts w:hint="eastAsia" w:ascii="仿宋_GB2312" w:hAnsi="黑体" w:eastAsia="仿宋_GB2312" w:cs="黑体"/>
          <w:color w:val="000000"/>
          <w:lang w:val="en-US"/>
        </w:rPr>
        <w:t>附件二：</w:t>
      </w:r>
    </w:p>
    <w:p>
      <w:pPr>
        <w:pStyle w:val="3"/>
        <w:spacing w:line="560" w:lineRule="exact"/>
        <w:jc w:val="center"/>
        <w:rPr>
          <w:rFonts w:ascii="方正小标宋简体" w:hAnsi="黑体" w:eastAsia="方正小标宋简体" w:cs="黑体"/>
          <w:color w:val="000000"/>
          <w:sz w:val="36"/>
          <w:szCs w:val="36"/>
          <w:lang w:val="en-US"/>
        </w:rPr>
      </w:pPr>
      <w:r>
        <w:rPr>
          <w:rFonts w:hint="eastAsia" w:ascii="方正小标宋简体" w:hAnsi="黑体" w:eastAsia="方正小标宋简体" w:cs="黑体"/>
          <w:color w:val="000000"/>
          <w:sz w:val="36"/>
          <w:szCs w:val="36"/>
          <w:lang w:val="en-US"/>
        </w:rPr>
        <w:t>“调查对象依法设置原始记录、统计台账”抽查入户调查表</w:t>
      </w:r>
    </w:p>
    <w:p>
      <w:pPr>
        <w:pStyle w:val="3"/>
        <w:spacing w:line="560" w:lineRule="exact"/>
        <w:jc w:val="both"/>
        <w:rPr>
          <w:rFonts w:ascii="黑体" w:hAnsi="黑体" w:eastAsia="黑体" w:cs="黑体"/>
          <w:color w:val="000000"/>
          <w:sz w:val="30"/>
          <w:szCs w:val="30"/>
          <w:lang w:val="en-US"/>
        </w:rPr>
      </w:pPr>
    </w:p>
    <w:tbl>
      <w:tblPr>
        <w:tblStyle w:val="8"/>
        <w:tblW w:w="14691" w:type="dxa"/>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889"/>
        <w:gridCol w:w="1718"/>
        <w:gridCol w:w="2029"/>
        <w:gridCol w:w="1562"/>
        <w:gridCol w:w="2809"/>
        <w:gridCol w:w="1562"/>
        <w:gridCol w:w="1405"/>
        <w:gridCol w:w="1717"/>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716" w:type="dxa"/>
            <w:shd w:val="clear" w:color="auto" w:fill="auto"/>
            <w:noWrap/>
            <w:tcMar>
              <w:top w:w="15" w:type="dxa"/>
              <w:left w:w="15" w:type="dxa"/>
              <w:right w:w="15" w:type="dxa"/>
            </w:tcMar>
            <w:vAlign w:val="center"/>
          </w:tcPr>
          <w:p>
            <w:pPr>
              <w:widowControl/>
              <w:textAlignment w:val="center"/>
              <w:rPr>
                <w:color w:val="000000"/>
                <w:sz w:val="30"/>
                <w:szCs w:val="30"/>
              </w:rPr>
            </w:pPr>
            <w:r>
              <w:rPr>
                <w:rFonts w:hint="eastAsia"/>
                <w:color w:val="000000"/>
                <w:sz w:val="30"/>
                <w:szCs w:val="30"/>
                <w:lang w:val="en-US"/>
              </w:rPr>
              <w:t>单位名称</w:t>
            </w:r>
          </w:p>
        </w:tc>
        <w:tc>
          <w:tcPr>
            <w:tcW w:w="1560" w:type="dxa"/>
            <w:shd w:val="clear" w:color="auto" w:fill="auto"/>
            <w:noWrap/>
            <w:tcMar>
              <w:top w:w="15" w:type="dxa"/>
              <w:left w:w="15" w:type="dxa"/>
              <w:right w:w="15" w:type="dxa"/>
            </w:tcMar>
            <w:vAlign w:val="center"/>
          </w:tcPr>
          <w:p>
            <w:pPr>
              <w:widowControl/>
              <w:textAlignment w:val="center"/>
              <w:rPr>
                <w:color w:val="000000"/>
                <w:sz w:val="30"/>
                <w:szCs w:val="30"/>
              </w:rPr>
            </w:pPr>
            <w:r>
              <w:rPr>
                <w:rFonts w:hint="eastAsia"/>
                <w:color w:val="000000"/>
                <w:sz w:val="30"/>
                <w:szCs w:val="30"/>
                <w:lang w:val="en-US"/>
              </w:rPr>
              <w:t>详细地址</w:t>
            </w:r>
          </w:p>
        </w:tc>
        <w:tc>
          <w:tcPr>
            <w:tcW w:w="1842" w:type="dxa"/>
            <w:shd w:val="clear" w:color="auto" w:fill="auto"/>
            <w:noWrap/>
            <w:tcMar>
              <w:top w:w="15" w:type="dxa"/>
              <w:left w:w="15" w:type="dxa"/>
              <w:right w:w="15" w:type="dxa"/>
            </w:tcMar>
            <w:vAlign w:val="center"/>
          </w:tcPr>
          <w:p>
            <w:pPr>
              <w:widowControl/>
              <w:textAlignment w:val="center"/>
              <w:rPr>
                <w:color w:val="000000"/>
                <w:sz w:val="30"/>
                <w:szCs w:val="30"/>
              </w:rPr>
            </w:pPr>
            <w:r>
              <w:rPr>
                <w:rFonts w:hint="eastAsia"/>
                <w:color w:val="000000"/>
                <w:sz w:val="30"/>
                <w:szCs w:val="30"/>
                <w:lang w:val="en-US"/>
              </w:rPr>
              <w:t>社会信用代码</w:t>
            </w:r>
          </w:p>
        </w:tc>
        <w:tc>
          <w:tcPr>
            <w:tcW w:w="1418" w:type="dxa"/>
            <w:shd w:val="clear" w:color="auto" w:fill="auto"/>
            <w:noWrap/>
            <w:tcMar>
              <w:top w:w="15" w:type="dxa"/>
              <w:left w:w="15" w:type="dxa"/>
              <w:right w:w="15" w:type="dxa"/>
            </w:tcMar>
            <w:vAlign w:val="center"/>
          </w:tcPr>
          <w:p>
            <w:pPr>
              <w:widowControl/>
              <w:textAlignment w:val="center"/>
              <w:rPr>
                <w:color w:val="000000"/>
                <w:sz w:val="30"/>
                <w:szCs w:val="30"/>
              </w:rPr>
            </w:pPr>
            <w:r>
              <w:rPr>
                <w:rFonts w:hint="eastAsia"/>
                <w:color w:val="000000"/>
                <w:sz w:val="30"/>
                <w:szCs w:val="30"/>
                <w:lang w:val="en-US"/>
              </w:rPr>
              <w:t>行业类别</w:t>
            </w:r>
          </w:p>
        </w:tc>
        <w:tc>
          <w:tcPr>
            <w:tcW w:w="2551" w:type="dxa"/>
            <w:shd w:val="clear" w:color="auto" w:fill="auto"/>
            <w:tcMar>
              <w:top w:w="15" w:type="dxa"/>
              <w:left w:w="15" w:type="dxa"/>
              <w:right w:w="15" w:type="dxa"/>
            </w:tcMar>
            <w:vAlign w:val="center"/>
          </w:tcPr>
          <w:p>
            <w:pPr>
              <w:widowControl/>
              <w:textAlignment w:val="center"/>
              <w:rPr>
                <w:color w:val="000000"/>
                <w:sz w:val="30"/>
                <w:szCs w:val="30"/>
              </w:rPr>
            </w:pPr>
            <w:r>
              <w:rPr>
                <w:rFonts w:hint="eastAsia"/>
                <w:color w:val="000000"/>
                <w:sz w:val="30"/>
                <w:szCs w:val="30"/>
                <w:lang w:val="en-US"/>
              </w:rPr>
              <w:t>填报统计报表名称</w:t>
            </w:r>
          </w:p>
        </w:tc>
        <w:tc>
          <w:tcPr>
            <w:tcW w:w="1418" w:type="dxa"/>
            <w:shd w:val="clear" w:color="auto" w:fill="auto"/>
            <w:noWrap/>
            <w:tcMar>
              <w:top w:w="15" w:type="dxa"/>
              <w:left w:w="15" w:type="dxa"/>
              <w:right w:w="15" w:type="dxa"/>
            </w:tcMar>
            <w:vAlign w:val="center"/>
          </w:tcPr>
          <w:p>
            <w:pPr>
              <w:widowControl/>
              <w:textAlignment w:val="center"/>
              <w:rPr>
                <w:color w:val="000000"/>
                <w:sz w:val="30"/>
                <w:szCs w:val="30"/>
              </w:rPr>
            </w:pPr>
            <w:r>
              <w:rPr>
                <w:rFonts w:hint="eastAsia"/>
                <w:color w:val="000000"/>
                <w:sz w:val="30"/>
                <w:szCs w:val="30"/>
                <w:lang w:val="en-US"/>
              </w:rPr>
              <w:t>是否设置原始记录</w:t>
            </w:r>
          </w:p>
        </w:tc>
        <w:tc>
          <w:tcPr>
            <w:tcW w:w="1276" w:type="dxa"/>
            <w:shd w:val="clear" w:color="auto" w:fill="auto"/>
            <w:tcMar>
              <w:top w:w="15" w:type="dxa"/>
              <w:left w:w="15" w:type="dxa"/>
              <w:right w:w="15" w:type="dxa"/>
            </w:tcMar>
            <w:vAlign w:val="center"/>
          </w:tcPr>
          <w:p>
            <w:pPr>
              <w:widowControl/>
              <w:textAlignment w:val="center"/>
              <w:rPr>
                <w:color w:val="000000"/>
                <w:sz w:val="30"/>
                <w:szCs w:val="30"/>
              </w:rPr>
            </w:pPr>
            <w:r>
              <w:rPr>
                <w:rFonts w:hint="eastAsia"/>
                <w:color w:val="000000"/>
                <w:sz w:val="30"/>
                <w:szCs w:val="30"/>
                <w:lang w:val="en-US"/>
              </w:rPr>
              <w:t>是否建立统计台账</w:t>
            </w:r>
          </w:p>
        </w:tc>
        <w:tc>
          <w:tcPr>
            <w:tcW w:w="1559" w:type="dxa"/>
            <w:shd w:val="clear" w:color="auto" w:fill="auto"/>
            <w:noWrap/>
            <w:tcMar>
              <w:top w:w="15" w:type="dxa"/>
              <w:left w:w="15" w:type="dxa"/>
              <w:right w:w="15" w:type="dxa"/>
            </w:tcMar>
            <w:vAlign w:val="center"/>
          </w:tcPr>
          <w:p>
            <w:pPr>
              <w:widowControl/>
              <w:textAlignment w:val="center"/>
              <w:rPr>
                <w:color w:val="000000"/>
                <w:sz w:val="30"/>
                <w:szCs w:val="30"/>
              </w:rPr>
            </w:pPr>
            <w:r>
              <w:rPr>
                <w:rFonts w:hint="eastAsia"/>
                <w:color w:val="000000"/>
                <w:sz w:val="30"/>
                <w:szCs w:val="30"/>
                <w:lang w:val="en-US"/>
              </w:rPr>
              <w:t>调查人签字</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PrEx>
        <w:trPr>
          <w:trHeight w:val="567" w:hRule="exact"/>
        </w:trPr>
        <w:tc>
          <w:tcPr>
            <w:tcW w:w="1716" w:type="dxa"/>
            <w:shd w:val="clear" w:color="auto" w:fill="auto"/>
            <w:noWrap/>
            <w:tcMar>
              <w:top w:w="15" w:type="dxa"/>
              <w:left w:w="15" w:type="dxa"/>
              <w:right w:w="15" w:type="dxa"/>
            </w:tcMar>
            <w:vAlign w:val="center"/>
          </w:tcPr>
          <w:p>
            <w:pPr>
              <w:rPr>
                <w:color w:val="000000"/>
              </w:rPr>
            </w:pPr>
          </w:p>
        </w:tc>
        <w:tc>
          <w:tcPr>
            <w:tcW w:w="1560" w:type="dxa"/>
            <w:shd w:val="clear" w:color="auto" w:fill="auto"/>
            <w:noWrap/>
            <w:tcMar>
              <w:top w:w="15" w:type="dxa"/>
              <w:left w:w="15" w:type="dxa"/>
              <w:right w:w="15" w:type="dxa"/>
            </w:tcMar>
            <w:vAlign w:val="center"/>
          </w:tcPr>
          <w:p>
            <w:pPr>
              <w:rPr>
                <w:color w:val="000000"/>
              </w:rPr>
            </w:pPr>
          </w:p>
        </w:tc>
        <w:tc>
          <w:tcPr>
            <w:tcW w:w="1842"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2551" w:type="dxa"/>
            <w:shd w:val="clear" w:color="auto" w:fill="auto"/>
            <w:noWrap/>
            <w:tcMar>
              <w:top w:w="15" w:type="dxa"/>
              <w:left w:w="15" w:type="dxa"/>
              <w:right w:w="15" w:type="dxa"/>
            </w:tcMar>
            <w:vAlign w:val="center"/>
          </w:tcPr>
          <w:p>
            <w:pPr>
              <w:rPr>
                <w:color w:val="000000"/>
              </w:rPr>
            </w:pPr>
          </w:p>
        </w:tc>
        <w:tc>
          <w:tcPr>
            <w:tcW w:w="1418" w:type="dxa"/>
            <w:shd w:val="clear" w:color="auto" w:fill="auto"/>
            <w:noWrap/>
            <w:tcMar>
              <w:top w:w="15" w:type="dxa"/>
              <w:left w:w="15" w:type="dxa"/>
              <w:right w:w="15" w:type="dxa"/>
            </w:tcMar>
            <w:vAlign w:val="center"/>
          </w:tcPr>
          <w:p>
            <w:pPr>
              <w:rPr>
                <w:color w:val="000000"/>
              </w:rPr>
            </w:pPr>
          </w:p>
        </w:tc>
        <w:tc>
          <w:tcPr>
            <w:tcW w:w="1276" w:type="dxa"/>
            <w:shd w:val="clear" w:color="auto" w:fill="auto"/>
            <w:noWrap/>
            <w:tcMar>
              <w:top w:w="15" w:type="dxa"/>
              <w:left w:w="15" w:type="dxa"/>
              <w:right w:w="15" w:type="dxa"/>
            </w:tcMar>
            <w:vAlign w:val="center"/>
          </w:tcPr>
          <w:p>
            <w:pPr>
              <w:rPr>
                <w:color w:val="000000"/>
              </w:rPr>
            </w:pPr>
          </w:p>
        </w:tc>
        <w:tc>
          <w:tcPr>
            <w:tcW w:w="1559" w:type="dxa"/>
            <w:shd w:val="clear" w:color="auto" w:fill="auto"/>
            <w:noWrap/>
            <w:tcMar>
              <w:top w:w="15" w:type="dxa"/>
              <w:left w:w="15" w:type="dxa"/>
              <w:right w:w="15" w:type="dxa"/>
            </w:tcMar>
            <w:vAlign w:val="center"/>
          </w:tcPr>
          <w:p>
            <w:pPr>
              <w:rPr>
                <w:color w:val="000000"/>
              </w:rPr>
            </w:pPr>
          </w:p>
        </w:tc>
      </w:tr>
    </w:tbl>
    <w:p>
      <w:pPr>
        <w:pStyle w:val="3"/>
        <w:spacing w:line="560" w:lineRule="exact"/>
        <w:jc w:val="both"/>
        <w:rPr>
          <w:rFonts w:ascii="黑体" w:hAnsi="黑体" w:eastAsia="黑体" w:cs="黑体"/>
          <w:color w:val="000000"/>
          <w:lang w:val="en-US"/>
        </w:rPr>
      </w:pPr>
    </w:p>
    <w:sectPr>
      <w:pgSz w:w="16840" w:h="11910" w:orient="landscape"/>
      <w:pgMar w:top="1588" w:right="1985" w:bottom="1418" w:left="181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Book Antiqua">
    <w:panose1 w:val="020406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38007"/>
      <w:docPartObj>
        <w:docPartGallery w:val="AutoText"/>
      </w:docPartObj>
    </w:sdtPr>
    <w:sdtContent>
      <w:p>
        <w:pPr>
          <w:pStyle w:val="6"/>
          <w:jc w:val="center"/>
        </w:pPr>
        <w:r>
          <w:fldChar w:fldCharType="begin"/>
        </w:r>
        <w:r>
          <w:instrText xml:space="preserve"> PAGE   \* MERGEFORMAT </w:instrText>
        </w:r>
        <w:r>
          <w:fldChar w:fldCharType="separate"/>
        </w:r>
        <w:r>
          <w:t>4</w:t>
        </w:r>
        <w:r>
          <w:fldChar w:fldCharType="end"/>
        </w:r>
      </w:p>
    </w:sdtContent>
  </w:sdt>
  <w:p>
    <w:pPr>
      <w:pStyle w:val="6"/>
      <w:tabs>
        <w:tab w:val="left" w:pos="4335"/>
        <w:tab w:val="center" w:pos="4452"/>
        <w:tab w:val="clear" w:pos="4153"/>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35F28"/>
    <w:rsid w:val="00135F28"/>
    <w:rsid w:val="00225694"/>
    <w:rsid w:val="003007C6"/>
    <w:rsid w:val="00301AC0"/>
    <w:rsid w:val="0058090D"/>
    <w:rsid w:val="006E576D"/>
    <w:rsid w:val="007A68DC"/>
    <w:rsid w:val="00874B74"/>
    <w:rsid w:val="009A6541"/>
    <w:rsid w:val="00B915C3"/>
    <w:rsid w:val="00E123CC"/>
    <w:rsid w:val="00FC3199"/>
    <w:rsid w:val="0567264C"/>
    <w:rsid w:val="059D468A"/>
    <w:rsid w:val="06864725"/>
    <w:rsid w:val="0B8F7A7F"/>
    <w:rsid w:val="127A77C6"/>
    <w:rsid w:val="133C04D9"/>
    <w:rsid w:val="179A7331"/>
    <w:rsid w:val="18EF4852"/>
    <w:rsid w:val="18F3055A"/>
    <w:rsid w:val="21A02101"/>
    <w:rsid w:val="21BA019C"/>
    <w:rsid w:val="224B6158"/>
    <w:rsid w:val="24624BBE"/>
    <w:rsid w:val="265738BB"/>
    <w:rsid w:val="27A007B4"/>
    <w:rsid w:val="2A2E2DD5"/>
    <w:rsid w:val="2AD30AB4"/>
    <w:rsid w:val="2E0B35C2"/>
    <w:rsid w:val="2F4917AE"/>
    <w:rsid w:val="3240417B"/>
    <w:rsid w:val="329E2C87"/>
    <w:rsid w:val="367C2FFA"/>
    <w:rsid w:val="369516DE"/>
    <w:rsid w:val="3B5F7FC3"/>
    <w:rsid w:val="3C655B81"/>
    <w:rsid w:val="3F3D0D6B"/>
    <w:rsid w:val="427D674F"/>
    <w:rsid w:val="47404CAB"/>
    <w:rsid w:val="47C77073"/>
    <w:rsid w:val="4A996F2F"/>
    <w:rsid w:val="4EB5765E"/>
    <w:rsid w:val="4ECD6554"/>
    <w:rsid w:val="503A0AA7"/>
    <w:rsid w:val="518321F8"/>
    <w:rsid w:val="52577294"/>
    <w:rsid w:val="564D6563"/>
    <w:rsid w:val="57A34742"/>
    <w:rsid w:val="587B64A0"/>
    <w:rsid w:val="5E2A1D12"/>
    <w:rsid w:val="5FCD3107"/>
    <w:rsid w:val="664A286F"/>
    <w:rsid w:val="680765BE"/>
    <w:rsid w:val="6A2B05CC"/>
    <w:rsid w:val="6BAE2B26"/>
    <w:rsid w:val="6C055D46"/>
    <w:rsid w:val="6C25152C"/>
    <w:rsid w:val="6CC52738"/>
    <w:rsid w:val="6D954BBA"/>
    <w:rsid w:val="71645C2D"/>
    <w:rsid w:val="72133F0B"/>
    <w:rsid w:val="745564EB"/>
    <w:rsid w:val="79271B30"/>
    <w:rsid w:val="792965AA"/>
    <w:rsid w:val="7DBC3E7D"/>
    <w:rsid w:val="7F557B34"/>
    <w:rsid w:val="7F6946FF"/>
    <w:rsid w:val="946C715A"/>
    <w:rsid w:val="DA4C9970"/>
    <w:rsid w:val="FEDF8805"/>
    <w:rsid w:val="FEFFAD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semiHidden/>
    <w:qFormat/>
    <w:uiPriority w:val="99"/>
    <w:rPr>
      <w:sz w:val="18"/>
      <w:szCs w:val="18"/>
    </w:rPr>
  </w:style>
  <w:style w:type="paragraph" w:styleId="3">
    <w:name w:val="Body Text"/>
    <w:basedOn w:val="1"/>
    <w:qFormat/>
    <w:uiPriority w:val="1"/>
    <w:rPr>
      <w:sz w:val="32"/>
      <w:szCs w:val="32"/>
    </w:rPr>
  </w:style>
  <w:style w:type="paragraph" w:styleId="4">
    <w:name w:val="Date"/>
    <w:basedOn w:val="1"/>
    <w:next w:val="1"/>
    <w:link w:val="13"/>
    <w:qFormat/>
    <w:uiPriority w:val="0"/>
    <w:pPr>
      <w:ind w:left="100" w:leftChars="2500"/>
    </w:pPr>
  </w:style>
  <w:style w:type="paragraph" w:styleId="5">
    <w:name w:val="Balloon Text"/>
    <w:basedOn w:val="1"/>
    <w:link w:val="15"/>
    <w:qFormat/>
    <w:uiPriority w:val="0"/>
    <w:rPr>
      <w:sz w:val="18"/>
      <w:szCs w:val="18"/>
    </w:rPr>
  </w:style>
  <w:style w:type="paragraph" w:styleId="6">
    <w:name w:val="footer"/>
    <w:basedOn w:val="1"/>
    <w:link w:val="14"/>
    <w:unhideWhenUsed/>
    <w:qFormat/>
    <w:uiPriority w:val="99"/>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character" w:customStyle="1" w:styleId="12">
    <w:name w:val="页眉 Char"/>
    <w:basedOn w:val="9"/>
    <w:link w:val="7"/>
    <w:qFormat/>
    <w:uiPriority w:val="0"/>
    <w:rPr>
      <w:rFonts w:ascii="宋体" w:hAnsi="宋体" w:cs="宋体"/>
      <w:sz w:val="18"/>
      <w:szCs w:val="18"/>
      <w:lang w:val="zh-CN" w:bidi="zh-CN"/>
    </w:rPr>
  </w:style>
  <w:style w:type="character" w:customStyle="1" w:styleId="13">
    <w:name w:val="日期 Char"/>
    <w:basedOn w:val="9"/>
    <w:link w:val="4"/>
    <w:qFormat/>
    <w:uiPriority w:val="0"/>
    <w:rPr>
      <w:rFonts w:ascii="宋体" w:hAnsi="宋体" w:cs="宋体"/>
      <w:sz w:val="22"/>
      <w:szCs w:val="22"/>
      <w:lang w:val="zh-CN" w:bidi="zh-CN"/>
    </w:rPr>
  </w:style>
  <w:style w:type="character" w:customStyle="1" w:styleId="14">
    <w:name w:val="页脚 Char"/>
    <w:basedOn w:val="9"/>
    <w:link w:val="6"/>
    <w:qFormat/>
    <w:uiPriority w:val="99"/>
    <w:rPr>
      <w:rFonts w:ascii="宋体" w:hAnsi="宋体" w:cs="宋体"/>
      <w:sz w:val="18"/>
      <w:szCs w:val="18"/>
      <w:lang w:val="zh-CN" w:bidi="zh-CN"/>
    </w:rPr>
  </w:style>
  <w:style w:type="character" w:customStyle="1" w:styleId="15">
    <w:name w:val="批注框文本 Char"/>
    <w:basedOn w:val="9"/>
    <w:link w:val="5"/>
    <w:qFormat/>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416</Words>
  <Characters>2375</Characters>
  <Lines>19</Lines>
  <Paragraphs>5</Paragraphs>
  <TotalTime>5</TotalTime>
  <ScaleCrop>false</ScaleCrop>
  <LinksUpToDate>false</LinksUpToDate>
  <CharactersWithSpaces>2786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2021-10-11T10:07:00Z</dcterms:created>
  <dc:creator>Administrator</dc:creator>
  <cp:lastModifiedBy>greatwall</cp:lastModifiedBy>
  <cp:lastPrinted>2021-10-11T10:06:00Z</cp:lastPrinted>
  <dcterms:modified xsi:type="dcterms:W3CDTF">2022-02-08T16:17:32Z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