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DA44F1">
      <w:pPr>
        <w:widowControl/>
        <w:jc w:val="left"/>
        <w:rPr>
          <w:rFonts w:hint="eastAsia" w:ascii="方正楷体简体" w:hAnsi="方正楷体简体" w:eastAsia="方正楷体简体" w:cs="方正楷体简体"/>
          <w:bCs/>
          <w:kern w:val="0"/>
          <w:sz w:val="32"/>
          <w:szCs w:val="32"/>
          <w:lang w:val="en-US" w:eastAsia="zh-CN"/>
        </w:rPr>
      </w:pPr>
      <w:r>
        <w:rPr>
          <w:rFonts w:hint="eastAsia" w:ascii="方正楷体简体" w:hAnsi="方正楷体简体" w:eastAsia="方正楷体简体" w:cs="方正楷体简体"/>
          <w:bCs/>
          <w:kern w:val="0"/>
          <w:sz w:val="32"/>
          <w:szCs w:val="32"/>
        </w:rPr>
        <w:t>附件</w:t>
      </w:r>
      <w:r>
        <w:rPr>
          <w:rFonts w:hint="eastAsia" w:ascii="方正楷体简体" w:hAnsi="方正楷体简体" w:eastAsia="方正楷体简体" w:cs="方正楷体简体"/>
          <w:bCs/>
          <w:kern w:val="0"/>
          <w:sz w:val="32"/>
          <w:szCs w:val="32"/>
          <w:lang w:val="en-US" w:eastAsia="zh-CN"/>
        </w:rPr>
        <w:t>1</w:t>
      </w:r>
    </w:p>
    <w:p w14:paraId="773535F1">
      <w:pPr>
        <w:widowControl/>
        <w:jc w:val="left"/>
        <w:rPr>
          <w:rFonts w:hint="eastAsia"/>
          <w:bCs/>
          <w:kern w:val="0"/>
          <w:sz w:val="32"/>
          <w:szCs w:val="32"/>
          <w:lang w:val="en-US" w:eastAsia="zh-CN"/>
        </w:rPr>
      </w:pPr>
    </w:p>
    <w:p w14:paraId="73FDCEAF">
      <w:pPr>
        <w:widowControl/>
        <w:jc w:val="center"/>
        <w:rPr>
          <w:rFonts w:hint="eastAsia" w:ascii="Times New Roman" w:hAnsi="Times New Roman" w:eastAsia="方正小标宋简体" w:cs="Times New Roman"/>
          <w:w w:val="100"/>
          <w:kern w:val="0"/>
          <w:sz w:val="40"/>
          <w:szCs w:val="44"/>
        </w:rPr>
      </w:pPr>
      <w:r>
        <w:rPr>
          <w:rFonts w:hint="eastAsia" w:ascii="Times New Roman" w:hAnsi="Times New Roman" w:eastAsia="方正小标宋简体" w:cs="Times New Roman"/>
          <w:w w:val="100"/>
          <w:kern w:val="0"/>
          <w:sz w:val="40"/>
          <w:szCs w:val="44"/>
        </w:rPr>
        <w:t>2026年度</w:t>
      </w:r>
    </w:p>
    <w:p w14:paraId="741759E7">
      <w:pPr>
        <w:widowControl/>
        <w:jc w:val="center"/>
        <w:rPr>
          <w:rFonts w:hint="eastAsia" w:ascii="Times New Roman" w:hAnsi="Times New Roman" w:eastAsia="方正小标宋简体" w:cs="Times New Roman"/>
          <w:w w:val="100"/>
          <w:kern w:val="0"/>
          <w:sz w:val="40"/>
          <w:szCs w:val="44"/>
        </w:rPr>
      </w:pPr>
      <w:r>
        <w:rPr>
          <w:rFonts w:hint="eastAsia" w:ascii="Times New Roman" w:hAnsi="Times New Roman" w:eastAsia="方正小标宋简体" w:cs="Times New Roman"/>
          <w:w w:val="100"/>
          <w:kern w:val="0"/>
          <w:sz w:val="40"/>
          <w:szCs w:val="44"/>
        </w:rPr>
        <w:t>怀化市广播电视监测中心部门预算公开说明</w:t>
      </w:r>
    </w:p>
    <w:p w14:paraId="5F742420">
      <w:pPr>
        <w:keepNext w:val="0"/>
        <w:keepLines w:val="0"/>
        <w:pageBreakBefore w:val="0"/>
        <w:widowControl/>
        <w:kinsoku/>
        <w:wordWrap/>
        <w:overflowPunct/>
        <w:topLinePunct w:val="0"/>
        <w:autoSpaceDE/>
        <w:autoSpaceDN/>
        <w:bidi w:val="0"/>
        <w:adjustRightInd/>
        <w:snapToGrid/>
        <w:spacing w:before="156" w:beforeLines="50" w:line="500" w:lineRule="exact"/>
        <w:ind w:left="0" w:leftChars="0" w:right="0" w:rightChars="0"/>
        <w:jc w:val="left"/>
        <w:textAlignment w:val="auto"/>
        <w:outlineLvl w:val="9"/>
        <w:rPr>
          <w:rFonts w:hint="eastAsia" w:eastAsia="楷体_GB2312"/>
          <w:b/>
          <w:bCs w:val="0"/>
          <w:kern w:val="0"/>
          <w:sz w:val="32"/>
          <w:szCs w:val="32"/>
          <w:lang w:val="en-US" w:eastAsia="zh-CN"/>
        </w:rPr>
      </w:pPr>
    </w:p>
    <w:p w14:paraId="79D9505D">
      <w:pPr>
        <w:keepNext w:val="0"/>
        <w:keepLines w:val="0"/>
        <w:pageBreakBefore w:val="0"/>
        <w:widowControl/>
        <w:kinsoku/>
        <w:wordWrap/>
        <w:overflowPunct/>
        <w:topLinePunct w:val="0"/>
        <w:autoSpaceDE/>
        <w:autoSpaceDN/>
        <w:bidi w:val="0"/>
        <w:adjustRightInd/>
        <w:snapToGrid/>
        <w:spacing w:line="500" w:lineRule="auto"/>
        <w:ind w:left="0" w:leftChars="0" w:right="0" w:rightChars="0" w:firstLine="627" w:firstLineChars="196"/>
        <w:jc w:val="left"/>
        <w:textAlignment w:val="auto"/>
        <w:outlineLvl w:val="9"/>
        <w:rPr>
          <w:rFonts w:hint="eastAsia" w:eastAsia="黑体"/>
          <w:bCs/>
          <w:kern w:val="0"/>
          <w:sz w:val="32"/>
          <w:szCs w:val="32"/>
          <w:lang w:eastAsia="zh-CN"/>
        </w:rPr>
      </w:pPr>
    </w:p>
    <w:p w14:paraId="69DFF496">
      <w:pPr>
        <w:keepNext w:val="0"/>
        <w:keepLines w:val="0"/>
        <w:pageBreakBefore w:val="0"/>
        <w:widowControl w:val="0"/>
        <w:kinsoku/>
        <w:wordWrap/>
        <w:overflowPunct/>
        <w:topLinePunct w:val="0"/>
        <w:autoSpaceDE/>
        <w:autoSpaceDN/>
        <w:bidi w:val="0"/>
        <w:adjustRightInd/>
        <w:snapToGrid/>
        <w:spacing w:line="500" w:lineRule="auto"/>
        <w:ind w:left="0" w:leftChars="0" w:right="0" w:rightChars="0" w:firstLine="627" w:firstLineChars="196"/>
        <w:jc w:val="center"/>
        <w:textAlignment w:val="auto"/>
        <w:outlineLvl w:val="9"/>
        <w:rPr>
          <w:rFonts w:hint="default" w:ascii="Times New Roman" w:hAnsi="Times New Roman" w:eastAsia="黑体" w:cs="Times New Roman"/>
          <w:bCs/>
          <w:color w:val="auto"/>
          <w:kern w:val="0"/>
          <w:sz w:val="32"/>
          <w:szCs w:val="32"/>
          <w:lang w:eastAsia="zh-CN"/>
        </w:rPr>
      </w:pPr>
      <w:r>
        <w:rPr>
          <w:rFonts w:hint="default" w:ascii="Times New Roman" w:hAnsi="Times New Roman" w:eastAsia="黑体" w:cs="Times New Roman"/>
          <w:bCs/>
          <w:color w:val="auto"/>
          <w:kern w:val="0"/>
          <w:sz w:val="32"/>
          <w:szCs w:val="32"/>
          <w:lang w:eastAsia="zh-CN"/>
        </w:rPr>
        <w:t>目录</w:t>
      </w:r>
    </w:p>
    <w:p w14:paraId="23425979">
      <w:pPr>
        <w:keepNext w:val="0"/>
        <w:keepLines w:val="0"/>
        <w:pageBreakBefore w:val="0"/>
        <w:widowControl w:val="0"/>
        <w:kinsoku/>
        <w:wordWrap/>
        <w:overflowPunct/>
        <w:topLinePunct w:val="0"/>
        <w:autoSpaceDE/>
        <w:autoSpaceDN/>
        <w:bidi w:val="0"/>
        <w:adjustRightInd/>
        <w:snapToGrid/>
        <w:spacing w:line="500" w:lineRule="auto"/>
        <w:ind w:right="0" w:rightChars="0" w:firstLine="320" w:firstLineChars="100"/>
        <w:jc w:val="left"/>
        <w:textAlignment w:val="auto"/>
        <w:outlineLvl w:val="9"/>
        <w:rPr>
          <w:rFonts w:hint="default" w:ascii="Times New Roman" w:hAnsi="Times New Roman" w:eastAsia="黑体" w:cs="Times New Roman"/>
          <w:bCs/>
          <w:color w:val="auto"/>
          <w:kern w:val="0"/>
          <w:sz w:val="32"/>
          <w:szCs w:val="32"/>
          <w:lang w:val="en-US" w:eastAsia="zh-CN"/>
        </w:rPr>
      </w:pPr>
      <w:r>
        <w:rPr>
          <w:rFonts w:hint="eastAsia" w:eastAsia="黑体" w:cs="Times New Roman"/>
          <w:bCs/>
          <w:color w:val="auto"/>
          <w:kern w:val="0"/>
          <w:sz w:val="32"/>
          <w:szCs w:val="32"/>
          <w:lang w:eastAsia="zh-CN"/>
        </w:rPr>
        <w:t>第一部分</w:t>
      </w:r>
      <w:r>
        <w:rPr>
          <w:rFonts w:hint="eastAsia" w:eastAsia="黑体" w:cs="Times New Roman"/>
          <w:bCs/>
          <w:color w:val="auto"/>
          <w:kern w:val="0"/>
          <w:sz w:val="32"/>
          <w:szCs w:val="32"/>
          <w:lang w:val="en-US" w:eastAsia="zh-CN"/>
        </w:rPr>
        <w:t>2026年部门预算说明</w:t>
      </w:r>
    </w:p>
    <w:p w14:paraId="7AE9EAA5">
      <w:pPr>
        <w:keepNext w:val="0"/>
        <w:keepLines w:val="0"/>
        <w:pageBreakBefore w:val="0"/>
        <w:widowControl w:val="0"/>
        <w:kinsoku/>
        <w:wordWrap/>
        <w:overflowPunct/>
        <w:topLinePunct w:val="0"/>
        <w:autoSpaceDE/>
        <w:autoSpaceDN/>
        <w:bidi w:val="0"/>
        <w:adjustRightInd/>
        <w:snapToGrid/>
        <w:spacing w:line="500" w:lineRule="auto"/>
        <w:ind w:left="0" w:leftChars="0" w:right="0" w:rightChars="0" w:firstLine="627" w:firstLineChars="196"/>
        <w:jc w:val="left"/>
        <w:textAlignment w:val="auto"/>
        <w:outlineLvl w:val="9"/>
        <w:rPr>
          <w:rFonts w:hint="eastAsia" w:ascii="仿宋" w:hAnsi="仿宋" w:eastAsia="仿宋" w:cs="仿宋"/>
          <w:b w:val="0"/>
          <w:bCs/>
          <w:color w:val="auto"/>
          <w:kern w:val="0"/>
          <w:sz w:val="32"/>
          <w:szCs w:val="32"/>
        </w:rPr>
      </w:pPr>
      <w:r>
        <w:rPr>
          <w:rFonts w:hint="eastAsia" w:ascii="仿宋" w:hAnsi="仿宋" w:eastAsia="仿宋" w:cs="仿宋"/>
          <w:b w:val="0"/>
          <w:bCs/>
          <w:color w:val="auto"/>
          <w:kern w:val="0"/>
          <w:sz w:val="32"/>
          <w:szCs w:val="32"/>
        </w:rPr>
        <w:t>一、部门</w:t>
      </w:r>
      <w:r>
        <w:rPr>
          <w:rFonts w:hint="eastAsia" w:ascii="仿宋" w:hAnsi="仿宋" w:eastAsia="仿宋" w:cs="仿宋"/>
          <w:b w:val="0"/>
          <w:bCs/>
          <w:color w:val="auto"/>
          <w:kern w:val="0"/>
          <w:sz w:val="32"/>
          <w:szCs w:val="32"/>
          <w:lang w:eastAsia="zh-CN"/>
        </w:rPr>
        <w:t>基本概况</w:t>
      </w:r>
    </w:p>
    <w:p w14:paraId="2DE342DF">
      <w:pPr>
        <w:keepNext w:val="0"/>
        <w:keepLines w:val="0"/>
        <w:pageBreakBefore w:val="0"/>
        <w:widowControl w:val="0"/>
        <w:numPr>
          <w:ilvl w:val="0"/>
          <w:numId w:val="1"/>
        </w:numPr>
        <w:kinsoku/>
        <w:wordWrap/>
        <w:overflowPunct/>
        <w:topLinePunct w:val="0"/>
        <w:autoSpaceDE/>
        <w:autoSpaceDN/>
        <w:bidi w:val="0"/>
        <w:adjustRightInd/>
        <w:snapToGrid/>
        <w:spacing w:line="500" w:lineRule="auto"/>
        <w:ind w:left="0" w:leftChars="0" w:right="0" w:rightChars="0" w:firstLine="627" w:firstLineChars="196"/>
        <w:jc w:val="left"/>
        <w:textAlignment w:val="auto"/>
        <w:outlineLvl w:val="9"/>
        <w:rPr>
          <w:rFonts w:hint="eastAsia" w:ascii="仿宋" w:hAnsi="仿宋" w:eastAsia="仿宋" w:cs="仿宋"/>
          <w:b w:val="0"/>
          <w:bCs/>
          <w:color w:val="auto"/>
          <w:kern w:val="0"/>
          <w:sz w:val="32"/>
          <w:szCs w:val="32"/>
          <w:lang w:eastAsia="zh-CN"/>
        </w:rPr>
      </w:pPr>
      <w:r>
        <w:rPr>
          <w:rFonts w:hint="eastAsia" w:ascii="仿宋" w:hAnsi="仿宋" w:eastAsia="仿宋" w:cs="仿宋"/>
          <w:b w:val="0"/>
          <w:bCs/>
          <w:color w:val="auto"/>
          <w:kern w:val="0"/>
          <w:sz w:val="32"/>
          <w:szCs w:val="32"/>
          <w:lang w:eastAsia="zh-CN"/>
        </w:rPr>
        <w:t>部门预算单位构成</w:t>
      </w:r>
    </w:p>
    <w:p w14:paraId="02B9D715">
      <w:pPr>
        <w:keepNext w:val="0"/>
        <w:keepLines w:val="0"/>
        <w:pageBreakBefore w:val="0"/>
        <w:widowControl w:val="0"/>
        <w:kinsoku/>
        <w:wordWrap/>
        <w:overflowPunct/>
        <w:topLinePunct w:val="0"/>
        <w:autoSpaceDE/>
        <w:autoSpaceDN/>
        <w:bidi w:val="0"/>
        <w:adjustRightInd/>
        <w:snapToGrid/>
        <w:spacing w:line="500" w:lineRule="auto"/>
        <w:ind w:left="0" w:leftChars="0" w:right="0" w:rightChars="0" w:firstLine="627" w:firstLineChars="196"/>
        <w:jc w:val="left"/>
        <w:textAlignment w:val="auto"/>
        <w:outlineLvl w:val="9"/>
        <w:rPr>
          <w:rFonts w:hint="eastAsia" w:ascii="仿宋" w:hAnsi="仿宋" w:eastAsia="仿宋" w:cs="仿宋"/>
          <w:b w:val="0"/>
          <w:bCs/>
          <w:color w:val="auto"/>
          <w:kern w:val="0"/>
          <w:sz w:val="32"/>
          <w:szCs w:val="32"/>
        </w:rPr>
      </w:pPr>
      <w:r>
        <w:rPr>
          <w:rFonts w:hint="eastAsia" w:ascii="仿宋" w:hAnsi="仿宋" w:eastAsia="仿宋" w:cs="仿宋"/>
          <w:b w:val="0"/>
          <w:bCs/>
          <w:color w:val="auto"/>
          <w:kern w:val="0"/>
          <w:sz w:val="32"/>
          <w:szCs w:val="32"/>
          <w:lang w:eastAsia="zh-CN"/>
        </w:rPr>
        <w:t>三</w:t>
      </w:r>
      <w:r>
        <w:rPr>
          <w:rFonts w:hint="eastAsia" w:ascii="仿宋" w:hAnsi="仿宋" w:eastAsia="仿宋" w:cs="仿宋"/>
          <w:b w:val="0"/>
          <w:bCs/>
          <w:color w:val="auto"/>
          <w:kern w:val="0"/>
          <w:sz w:val="32"/>
          <w:szCs w:val="32"/>
        </w:rPr>
        <w:t>、</w:t>
      </w:r>
      <w:r>
        <w:rPr>
          <w:rFonts w:hint="eastAsia" w:ascii="仿宋" w:hAnsi="仿宋" w:eastAsia="仿宋" w:cs="仿宋"/>
          <w:b w:val="0"/>
          <w:bCs/>
          <w:color w:val="auto"/>
          <w:kern w:val="0"/>
          <w:sz w:val="32"/>
          <w:szCs w:val="32"/>
          <w:lang w:eastAsia="zh-CN"/>
        </w:rPr>
        <w:t>部门收支总体情况</w:t>
      </w:r>
    </w:p>
    <w:p w14:paraId="50C0F441">
      <w:pPr>
        <w:keepNext w:val="0"/>
        <w:keepLines w:val="0"/>
        <w:pageBreakBefore w:val="0"/>
        <w:widowControl w:val="0"/>
        <w:numPr>
          <w:ilvl w:val="0"/>
          <w:numId w:val="2"/>
        </w:numPr>
        <w:kinsoku/>
        <w:wordWrap/>
        <w:overflowPunct/>
        <w:topLinePunct w:val="0"/>
        <w:autoSpaceDE/>
        <w:autoSpaceDN/>
        <w:bidi w:val="0"/>
        <w:adjustRightInd/>
        <w:snapToGrid/>
        <w:spacing w:line="500" w:lineRule="auto"/>
        <w:ind w:left="0" w:leftChars="0" w:right="0" w:rightChars="0" w:firstLine="627" w:firstLineChars="196"/>
        <w:jc w:val="left"/>
        <w:textAlignment w:val="auto"/>
        <w:outlineLvl w:val="9"/>
        <w:rPr>
          <w:rFonts w:hint="eastAsia" w:ascii="仿宋" w:hAnsi="仿宋" w:eastAsia="仿宋" w:cs="仿宋"/>
          <w:b w:val="0"/>
          <w:bCs/>
          <w:color w:val="auto"/>
          <w:kern w:val="0"/>
          <w:sz w:val="32"/>
          <w:szCs w:val="32"/>
          <w:lang w:eastAsia="zh-CN"/>
        </w:rPr>
      </w:pPr>
      <w:r>
        <w:rPr>
          <w:rFonts w:hint="eastAsia" w:ascii="仿宋" w:hAnsi="仿宋" w:eastAsia="仿宋" w:cs="仿宋"/>
          <w:b w:val="0"/>
          <w:bCs/>
          <w:color w:val="auto"/>
          <w:kern w:val="0"/>
          <w:sz w:val="32"/>
          <w:szCs w:val="32"/>
          <w:lang w:eastAsia="zh-CN"/>
        </w:rPr>
        <w:t>一般公共预算财政拨款支出</w:t>
      </w:r>
    </w:p>
    <w:p w14:paraId="764F02DA">
      <w:pPr>
        <w:keepNext w:val="0"/>
        <w:keepLines w:val="0"/>
        <w:pageBreakBefore w:val="0"/>
        <w:widowControl w:val="0"/>
        <w:numPr>
          <w:ilvl w:val="0"/>
          <w:numId w:val="2"/>
        </w:numPr>
        <w:kinsoku/>
        <w:wordWrap/>
        <w:overflowPunct/>
        <w:topLinePunct w:val="0"/>
        <w:autoSpaceDE/>
        <w:autoSpaceDN/>
        <w:bidi w:val="0"/>
        <w:adjustRightInd/>
        <w:snapToGrid/>
        <w:spacing w:line="500" w:lineRule="auto"/>
        <w:ind w:left="0" w:leftChars="0" w:right="0" w:rightChars="0" w:firstLine="627" w:firstLineChars="196"/>
        <w:jc w:val="left"/>
        <w:textAlignment w:val="auto"/>
        <w:outlineLvl w:val="9"/>
        <w:rPr>
          <w:rFonts w:hint="eastAsia" w:ascii="仿宋" w:hAnsi="仿宋" w:eastAsia="仿宋" w:cs="仿宋"/>
          <w:b w:val="0"/>
          <w:bCs/>
          <w:color w:val="auto"/>
          <w:kern w:val="0"/>
          <w:sz w:val="32"/>
          <w:szCs w:val="32"/>
          <w:lang w:eastAsia="zh-CN"/>
        </w:rPr>
      </w:pPr>
      <w:r>
        <w:rPr>
          <w:rFonts w:hint="eastAsia" w:ascii="仿宋" w:hAnsi="仿宋" w:eastAsia="仿宋" w:cs="仿宋"/>
          <w:b w:val="0"/>
          <w:bCs/>
          <w:color w:val="auto"/>
          <w:kern w:val="0"/>
          <w:sz w:val="32"/>
          <w:szCs w:val="32"/>
          <w:lang w:eastAsia="zh-CN"/>
        </w:rPr>
        <w:t>政府性基金预算支出</w:t>
      </w:r>
    </w:p>
    <w:p w14:paraId="684E01EB">
      <w:pPr>
        <w:keepNext w:val="0"/>
        <w:keepLines w:val="0"/>
        <w:pageBreakBefore w:val="0"/>
        <w:widowControl w:val="0"/>
        <w:numPr>
          <w:ilvl w:val="0"/>
          <w:numId w:val="0"/>
        </w:numPr>
        <w:kinsoku/>
        <w:wordWrap/>
        <w:overflowPunct/>
        <w:topLinePunct w:val="0"/>
        <w:autoSpaceDE/>
        <w:autoSpaceDN/>
        <w:bidi w:val="0"/>
        <w:adjustRightInd/>
        <w:snapToGrid/>
        <w:spacing w:line="500" w:lineRule="auto"/>
        <w:ind w:left="0" w:leftChars="0" w:right="0" w:rightChars="0" w:firstLine="640" w:firstLineChars="200"/>
        <w:jc w:val="left"/>
        <w:textAlignment w:val="auto"/>
        <w:outlineLvl w:val="9"/>
        <w:rPr>
          <w:rFonts w:hint="eastAsia" w:ascii="仿宋" w:hAnsi="仿宋" w:eastAsia="仿宋" w:cs="仿宋"/>
          <w:b w:val="0"/>
          <w:bCs/>
          <w:color w:val="auto"/>
          <w:kern w:val="0"/>
          <w:sz w:val="32"/>
          <w:szCs w:val="32"/>
          <w:lang w:eastAsia="zh-CN"/>
        </w:rPr>
      </w:pPr>
      <w:r>
        <w:rPr>
          <w:rFonts w:hint="eastAsia" w:ascii="仿宋" w:hAnsi="仿宋" w:eastAsia="仿宋" w:cs="仿宋"/>
          <w:b w:val="0"/>
          <w:bCs/>
          <w:color w:val="auto"/>
          <w:kern w:val="0"/>
          <w:sz w:val="32"/>
          <w:szCs w:val="32"/>
          <w:lang w:eastAsia="zh-CN"/>
        </w:rPr>
        <w:t>六、其他重要事项的情况说明</w:t>
      </w:r>
    </w:p>
    <w:p w14:paraId="259EC6DC">
      <w:pPr>
        <w:keepNext w:val="0"/>
        <w:keepLines w:val="0"/>
        <w:pageBreakBefore w:val="0"/>
        <w:widowControl w:val="0"/>
        <w:numPr>
          <w:ilvl w:val="0"/>
          <w:numId w:val="0"/>
        </w:numPr>
        <w:kinsoku/>
        <w:wordWrap/>
        <w:overflowPunct/>
        <w:topLinePunct w:val="0"/>
        <w:autoSpaceDE/>
        <w:autoSpaceDN/>
        <w:bidi w:val="0"/>
        <w:adjustRightInd/>
        <w:snapToGrid/>
        <w:spacing w:line="500" w:lineRule="auto"/>
        <w:ind w:left="0" w:leftChars="0" w:right="0" w:rightChars="0" w:firstLine="640" w:firstLineChars="200"/>
        <w:jc w:val="left"/>
        <w:textAlignment w:val="auto"/>
        <w:outlineLvl w:val="9"/>
        <w:rPr>
          <w:rFonts w:hint="eastAsia" w:ascii="仿宋" w:hAnsi="仿宋" w:eastAsia="仿宋" w:cs="仿宋"/>
          <w:b w:val="0"/>
          <w:bCs/>
          <w:color w:val="auto"/>
          <w:sz w:val="32"/>
          <w:szCs w:val="32"/>
        </w:rPr>
      </w:pPr>
      <w:r>
        <w:rPr>
          <w:rFonts w:hint="eastAsia" w:ascii="仿宋" w:hAnsi="仿宋" w:eastAsia="仿宋" w:cs="仿宋"/>
          <w:b w:val="0"/>
          <w:bCs/>
          <w:color w:val="auto"/>
          <w:sz w:val="32"/>
          <w:szCs w:val="32"/>
          <w:lang w:val="en-US" w:eastAsia="zh-CN"/>
        </w:rPr>
        <w:t>七、</w:t>
      </w:r>
      <w:r>
        <w:rPr>
          <w:rFonts w:hint="eastAsia" w:ascii="仿宋" w:hAnsi="仿宋" w:eastAsia="仿宋" w:cs="仿宋"/>
          <w:b w:val="0"/>
          <w:bCs/>
          <w:color w:val="auto"/>
          <w:sz w:val="32"/>
          <w:szCs w:val="32"/>
        </w:rPr>
        <w:t>名词解释</w:t>
      </w:r>
    </w:p>
    <w:p w14:paraId="2AB683C1">
      <w:pPr>
        <w:keepNext w:val="0"/>
        <w:keepLines w:val="0"/>
        <w:pageBreakBefore w:val="0"/>
        <w:widowControl w:val="0"/>
        <w:numPr>
          <w:ilvl w:val="0"/>
          <w:numId w:val="0"/>
        </w:numPr>
        <w:kinsoku/>
        <w:wordWrap/>
        <w:overflowPunct/>
        <w:topLinePunct w:val="0"/>
        <w:autoSpaceDE/>
        <w:autoSpaceDN/>
        <w:bidi w:val="0"/>
        <w:adjustRightInd/>
        <w:snapToGrid/>
        <w:ind w:firstLine="320" w:firstLineChars="100"/>
        <w:textAlignment w:val="auto"/>
        <w:rPr>
          <w:rFonts w:hint="default" w:ascii="Times New Roman" w:hAnsi="Times New Roman" w:eastAsia="黑体" w:cs="Times New Roman"/>
          <w:b w:val="0"/>
          <w:bCs w:val="0"/>
          <w:color w:val="auto"/>
          <w:sz w:val="32"/>
          <w:szCs w:val="32"/>
          <w:lang w:val="en-US" w:eastAsia="zh-CN"/>
        </w:rPr>
      </w:pPr>
      <w:r>
        <w:rPr>
          <w:rFonts w:hint="eastAsia" w:eastAsia="黑体" w:cs="Times New Roman"/>
          <w:b w:val="0"/>
          <w:bCs w:val="0"/>
          <w:color w:val="auto"/>
          <w:sz w:val="32"/>
          <w:szCs w:val="32"/>
          <w:lang w:val="en-US" w:eastAsia="zh-CN"/>
        </w:rPr>
        <w:t>第二部分2026年部门预算表</w:t>
      </w:r>
    </w:p>
    <w:p w14:paraId="02A1EDA4">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1.</w:t>
      </w:r>
      <w:r>
        <w:rPr>
          <w:rFonts w:eastAsia="仿宋_GB2312"/>
          <w:color w:val="000000"/>
          <w:sz w:val="32"/>
          <w:szCs w:val="32"/>
        </w:rPr>
        <w:t>收支</w:t>
      </w:r>
      <w:r>
        <w:rPr>
          <w:rFonts w:hint="eastAsia" w:eastAsia="仿宋_GB2312"/>
          <w:color w:val="000000"/>
          <w:sz w:val="32"/>
          <w:szCs w:val="32"/>
          <w:lang w:eastAsia="zh-CN"/>
        </w:rPr>
        <w:t>预算</w:t>
      </w:r>
      <w:r>
        <w:rPr>
          <w:rFonts w:eastAsia="仿宋_GB2312"/>
          <w:color w:val="000000"/>
          <w:sz w:val="32"/>
          <w:szCs w:val="32"/>
        </w:rPr>
        <w:t>总表</w:t>
      </w:r>
    </w:p>
    <w:p w14:paraId="3947F7C5">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2.</w:t>
      </w:r>
      <w:r>
        <w:rPr>
          <w:rFonts w:eastAsia="仿宋_GB2312"/>
          <w:color w:val="000000"/>
          <w:sz w:val="32"/>
          <w:szCs w:val="32"/>
        </w:rPr>
        <w:t>收入</w:t>
      </w:r>
      <w:r>
        <w:rPr>
          <w:rFonts w:hint="eastAsia" w:eastAsia="仿宋_GB2312"/>
          <w:color w:val="000000"/>
          <w:sz w:val="32"/>
          <w:szCs w:val="32"/>
          <w:lang w:eastAsia="zh-CN"/>
        </w:rPr>
        <w:t>预算总</w:t>
      </w:r>
      <w:r>
        <w:rPr>
          <w:rFonts w:eastAsia="仿宋_GB2312"/>
          <w:color w:val="000000"/>
          <w:sz w:val="32"/>
          <w:szCs w:val="32"/>
        </w:rPr>
        <w:t>表</w:t>
      </w:r>
    </w:p>
    <w:p w14:paraId="338F3555">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3.</w:t>
      </w:r>
      <w:r>
        <w:rPr>
          <w:rFonts w:eastAsia="仿宋_GB2312"/>
          <w:color w:val="000000"/>
          <w:sz w:val="32"/>
          <w:szCs w:val="32"/>
        </w:rPr>
        <w:t>支出</w:t>
      </w:r>
      <w:r>
        <w:rPr>
          <w:rFonts w:hint="eastAsia" w:eastAsia="仿宋_GB2312"/>
          <w:color w:val="000000"/>
          <w:sz w:val="32"/>
          <w:szCs w:val="32"/>
          <w:lang w:eastAsia="zh-CN"/>
        </w:rPr>
        <w:t>预算总</w:t>
      </w:r>
      <w:r>
        <w:rPr>
          <w:rFonts w:eastAsia="仿宋_GB2312"/>
          <w:color w:val="000000"/>
          <w:sz w:val="32"/>
          <w:szCs w:val="32"/>
        </w:rPr>
        <w:t>表</w:t>
      </w:r>
    </w:p>
    <w:p w14:paraId="036CCCC1">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bCs w:val="0"/>
          <w:color w:val="auto"/>
          <w:sz w:val="32"/>
          <w:szCs w:val="32"/>
          <w:lang w:val="en-US" w:eastAsia="zh-CN"/>
        </w:rPr>
        <w:t>4.</w:t>
      </w:r>
      <w:r>
        <w:rPr>
          <w:rFonts w:eastAsia="仿宋_GB2312"/>
          <w:color w:val="000000"/>
          <w:sz w:val="32"/>
          <w:szCs w:val="32"/>
        </w:rPr>
        <w:t>财政拨款收支</w:t>
      </w:r>
      <w:r>
        <w:rPr>
          <w:rFonts w:hint="eastAsia" w:eastAsia="仿宋_GB2312"/>
          <w:color w:val="000000"/>
          <w:sz w:val="32"/>
          <w:szCs w:val="32"/>
          <w:lang w:eastAsia="zh-CN"/>
        </w:rPr>
        <w:t>预算</w:t>
      </w:r>
      <w:r>
        <w:rPr>
          <w:rFonts w:eastAsia="仿宋_GB2312"/>
          <w:color w:val="000000"/>
          <w:sz w:val="32"/>
          <w:szCs w:val="32"/>
        </w:rPr>
        <w:t>总表</w:t>
      </w:r>
    </w:p>
    <w:p w14:paraId="65D6185C">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eastAsia="仿宋_GB2312"/>
          <w:color w:val="000000"/>
          <w:sz w:val="32"/>
          <w:szCs w:val="32"/>
        </w:rPr>
      </w:pPr>
      <w:r>
        <w:rPr>
          <w:rFonts w:hint="default" w:ascii="Times New Roman" w:hAnsi="Times New Roman" w:eastAsia="仿宋_GB2312" w:cs="Times New Roman"/>
          <w:b w:val="0"/>
          <w:bCs w:val="0"/>
          <w:color w:val="auto"/>
          <w:sz w:val="32"/>
          <w:szCs w:val="32"/>
          <w:lang w:val="en-US" w:eastAsia="zh-CN"/>
        </w:rPr>
        <w:t>5.</w:t>
      </w:r>
      <w:r>
        <w:rPr>
          <w:rFonts w:eastAsia="仿宋_GB2312"/>
          <w:color w:val="000000"/>
          <w:sz w:val="32"/>
          <w:szCs w:val="32"/>
        </w:rPr>
        <w:t>一般公共预算支出</w:t>
      </w:r>
      <w:r>
        <w:rPr>
          <w:rFonts w:hint="eastAsia" w:eastAsia="仿宋_GB2312"/>
          <w:color w:val="000000"/>
          <w:sz w:val="32"/>
          <w:szCs w:val="32"/>
          <w:lang w:eastAsia="zh-CN"/>
        </w:rPr>
        <w:t>预算</w:t>
      </w:r>
      <w:r>
        <w:rPr>
          <w:rFonts w:eastAsia="仿宋_GB2312"/>
          <w:color w:val="000000"/>
          <w:sz w:val="32"/>
          <w:szCs w:val="32"/>
        </w:rPr>
        <w:t>表</w:t>
      </w:r>
    </w:p>
    <w:p w14:paraId="11EC182D">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6.</w:t>
      </w:r>
      <w:r>
        <w:rPr>
          <w:rFonts w:eastAsia="仿宋_GB2312"/>
          <w:color w:val="000000"/>
          <w:sz w:val="32"/>
          <w:szCs w:val="32"/>
        </w:rPr>
        <w:t>一般公共预算基本支出</w:t>
      </w:r>
      <w:r>
        <w:rPr>
          <w:rFonts w:hint="eastAsia" w:eastAsia="仿宋_GB2312"/>
          <w:color w:val="000000"/>
          <w:sz w:val="32"/>
          <w:szCs w:val="32"/>
          <w:lang w:eastAsia="zh-CN"/>
        </w:rPr>
        <w:t>预算</w:t>
      </w:r>
      <w:r>
        <w:rPr>
          <w:rFonts w:eastAsia="仿宋_GB2312"/>
          <w:color w:val="000000"/>
          <w:sz w:val="32"/>
          <w:szCs w:val="32"/>
        </w:rPr>
        <w:t>表</w:t>
      </w:r>
    </w:p>
    <w:p w14:paraId="1BA36F4A">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bCs w:val="0"/>
          <w:color w:val="auto"/>
          <w:sz w:val="32"/>
          <w:szCs w:val="32"/>
          <w:lang w:val="en-US" w:eastAsia="zh-CN"/>
        </w:rPr>
        <w:t>7.</w:t>
      </w:r>
      <w:r>
        <w:rPr>
          <w:rFonts w:hint="eastAsia" w:eastAsia="仿宋_GB2312" w:cs="Times New Roman"/>
          <w:b w:val="0"/>
          <w:bCs w:val="0"/>
          <w:color w:val="auto"/>
          <w:sz w:val="32"/>
          <w:szCs w:val="32"/>
          <w:lang w:val="en-US" w:eastAsia="zh-CN"/>
        </w:rPr>
        <w:t>一般公共预算</w:t>
      </w:r>
      <w:r>
        <w:rPr>
          <w:rFonts w:eastAsia="仿宋_GB2312"/>
          <w:color w:val="000000"/>
          <w:sz w:val="32"/>
          <w:szCs w:val="32"/>
        </w:rPr>
        <w:t>“三公”经费支出</w:t>
      </w:r>
      <w:r>
        <w:rPr>
          <w:rFonts w:hint="eastAsia" w:eastAsia="仿宋_GB2312"/>
          <w:color w:val="000000"/>
          <w:sz w:val="32"/>
          <w:szCs w:val="32"/>
          <w:lang w:eastAsia="zh-CN"/>
        </w:rPr>
        <w:t>预算</w:t>
      </w:r>
      <w:r>
        <w:rPr>
          <w:rFonts w:eastAsia="仿宋_GB2312"/>
          <w:color w:val="000000"/>
          <w:sz w:val="32"/>
          <w:szCs w:val="32"/>
        </w:rPr>
        <w:t>表</w:t>
      </w:r>
    </w:p>
    <w:p w14:paraId="38BB6335">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bCs w:val="0"/>
          <w:color w:val="auto"/>
          <w:sz w:val="32"/>
          <w:szCs w:val="32"/>
          <w:lang w:val="en-US" w:eastAsia="zh-CN"/>
        </w:rPr>
        <w:t>8.</w:t>
      </w:r>
      <w:r>
        <w:rPr>
          <w:rFonts w:eastAsia="仿宋_GB2312"/>
          <w:color w:val="000000"/>
          <w:sz w:val="32"/>
          <w:szCs w:val="32"/>
        </w:rPr>
        <w:t>政府性基金预算支</w:t>
      </w:r>
      <w:r>
        <w:rPr>
          <w:rFonts w:hint="eastAsia" w:eastAsia="仿宋_GB2312"/>
          <w:color w:val="000000"/>
          <w:sz w:val="32"/>
          <w:szCs w:val="32"/>
          <w:lang w:eastAsia="zh-CN"/>
        </w:rPr>
        <w:t>出预算</w:t>
      </w:r>
      <w:r>
        <w:rPr>
          <w:rFonts w:eastAsia="仿宋_GB2312"/>
          <w:color w:val="000000"/>
          <w:sz w:val="32"/>
          <w:szCs w:val="32"/>
        </w:rPr>
        <w:t>表</w:t>
      </w:r>
    </w:p>
    <w:p w14:paraId="5F45FA5F">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Times New Roman"/>
          <w:color w:val="auto"/>
          <w:sz w:val="32"/>
          <w:szCs w:val="32"/>
          <w:lang w:val="en-US" w:eastAsia="zh-CN"/>
        </w:rPr>
      </w:pPr>
      <w:r>
        <w:rPr>
          <w:rFonts w:hint="eastAsia" w:eastAsia="仿宋_GB2312" w:cs="Times New Roman"/>
          <w:color w:val="auto"/>
          <w:sz w:val="32"/>
          <w:szCs w:val="32"/>
          <w:lang w:val="en-US" w:eastAsia="zh-CN"/>
        </w:rPr>
        <w:t>9.</w:t>
      </w:r>
      <w:r>
        <w:rPr>
          <w:rFonts w:hint="eastAsia" w:eastAsia="仿宋_GB2312"/>
          <w:color w:val="000000"/>
          <w:sz w:val="32"/>
          <w:szCs w:val="32"/>
          <w:lang w:eastAsia="zh-CN"/>
        </w:rPr>
        <w:t>项目支出预算表</w:t>
      </w:r>
    </w:p>
    <w:p w14:paraId="05136655">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b w:val="0"/>
          <w:bCs w:val="0"/>
          <w:color w:val="auto"/>
          <w:sz w:val="32"/>
          <w:szCs w:val="32"/>
          <w:lang w:val="en-US" w:eastAsia="zh-CN"/>
        </w:rPr>
        <w:t>10</w:t>
      </w:r>
      <w:r>
        <w:rPr>
          <w:rFonts w:hint="default" w:ascii="Times New Roman" w:hAnsi="Times New Roman" w:eastAsia="仿宋_GB2312" w:cs="Times New Roman"/>
          <w:b w:val="0"/>
          <w:bCs w:val="0"/>
          <w:color w:val="auto"/>
          <w:sz w:val="32"/>
          <w:szCs w:val="32"/>
          <w:lang w:val="en-US" w:eastAsia="zh-CN"/>
        </w:rPr>
        <w:t>.</w:t>
      </w:r>
      <w:r>
        <w:rPr>
          <w:rFonts w:hint="eastAsia" w:eastAsia="仿宋_GB2312"/>
          <w:color w:val="000000"/>
          <w:sz w:val="32"/>
          <w:szCs w:val="32"/>
          <w:lang w:eastAsia="zh-CN"/>
        </w:rPr>
        <w:t>国有资本经营预算支出预算表</w:t>
      </w:r>
    </w:p>
    <w:p w14:paraId="2C568E3B">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eastAsia="仿宋_GB2312" w:cs="Times New Roman"/>
          <w:color w:val="auto"/>
          <w:sz w:val="32"/>
          <w:szCs w:val="32"/>
          <w:lang w:val="en-US" w:eastAsia="zh-CN"/>
        </w:rPr>
      </w:pPr>
      <w:r>
        <w:rPr>
          <w:rFonts w:hint="eastAsia" w:eastAsia="仿宋_GB2312" w:cs="Times New Roman"/>
          <w:color w:val="auto"/>
          <w:sz w:val="32"/>
          <w:szCs w:val="32"/>
          <w:lang w:val="en-US" w:eastAsia="zh-CN"/>
        </w:rPr>
        <w:t>11.项目支出绩效目标表</w:t>
      </w:r>
    </w:p>
    <w:p w14:paraId="751AA226">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eastAsia="仿宋_GB2312" w:cs="Times New Roman"/>
          <w:color w:val="auto"/>
          <w:sz w:val="32"/>
          <w:szCs w:val="32"/>
          <w:lang w:val="en-US" w:eastAsia="zh-CN"/>
        </w:rPr>
      </w:pPr>
      <w:r>
        <w:rPr>
          <w:rFonts w:hint="eastAsia" w:eastAsia="仿宋_GB2312" w:cs="Times New Roman"/>
          <w:color w:val="auto"/>
          <w:sz w:val="32"/>
          <w:szCs w:val="32"/>
          <w:lang w:val="en-US" w:eastAsia="zh-CN"/>
        </w:rPr>
        <w:t>12.部门整体支出绩效目标表</w:t>
      </w:r>
    </w:p>
    <w:p w14:paraId="1F51D25B">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eastAsia="仿宋_GB2312" w:cs="Times New Roman"/>
          <w:color w:val="auto"/>
          <w:sz w:val="32"/>
          <w:szCs w:val="32"/>
          <w:lang w:val="en-US" w:eastAsia="zh-CN"/>
        </w:rPr>
      </w:pPr>
      <w:r>
        <w:rPr>
          <w:rFonts w:hint="eastAsia" w:eastAsia="仿宋_GB2312" w:cs="Times New Roman"/>
          <w:color w:val="auto"/>
          <w:sz w:val="32"/>
          <w:szCs w:val="32"/>
          <w:lang w:val="en-US" w:eastAsia="zh-CN"/>
        </w:rPr>
        <w:t>注：以上部门预算报表中，空表表示本部门无相关收支情况</w:t>
      </w:r>
    </w:p>
    <w:p w14:paraId="0C1DEE78">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color w:val="auto"/>
          <w:sz w:val="32"/>
          <w:szCs w:val="32"/>
          <w:lang w:val="en-US" w:eastAsia="zh-CN"/>
        </w:rPr>
      </w:pPr>
    </w:p>
    <w:p w14:paraId="7ABECEB0">
      <w:pPr>
        <w:keepNext w:val="0"/>
        <w:keepLines w:val="0"/>
        <w:pageBreakBefore w:val="0"/>
        <w:widowControl/>
        <w:kinsoku/>
        <w:wordWrap/>
        <w:overflowPunct/>
        <w:topLinePunct w:val="0"/>
        <w:autoSpaceDE/>
        <w:autoSpaceDN/>
        <w:bidi w:val="0"/>
        <w:adjustRightInd/>
        <w:snapToGrid/>
        <w:spacing w:before="156" w:beforeLines="50" w:line="500" w:lineRule="exact"/>
        <w:ind w:left="0" w:leftChars="0" w:right="0" w:rightChars="0"/>
        <w:jc w:val="left"/>
        <w:textAlignment w:val="auto"/>
        <w:outlineLvl w:val="9"/>
        <w:rPr>
          <w:rFonts w:hint="eastAsia" w:eastAsia="楷体_GB2312"/>
          <w:b/>
          <w:bCs w:val="0"/>
          <w:kern w:val="0"/>
          <w:sz w:val="32"/>
          <w:szCs w:val="32"/>
          <w:lang w:val="en-US" w:eastAsia="zh-CN"/>
        </w:rPr>
      </w:pPr>
    </w:p>
    <w:p w14:paraId="71C12AA9">
      <w:pPr>
        <w:keepNext w:val="0"/>
        <w:keepLines w:val="0"/>
        <w:pageBreakBefore w:val="0"/>
        <w:widowControl/>
        <w:kinsoku/>
        <w:wordWrap/>
        <w:overflowPunct/>
        <w:topLinePunct w:val="0"/>
        <w:autoSpaceDE/>
        <w:autoSpaceDN/>
        <w:bidi w:val="0"/>
        <w:adjustRightInd/>
        <w:snapToGrid/>
        <w:spacing w:before="156" w:beforeLines="50" w:line="500" w:lineRule="exact"/>
        <w:ind w:left="0" w:leftChars="0" w:right="0" w:rightChars="0"/>
        <w:jc w:val="left"/>
        <w:textAlignment w:val="auto"/>
        <w:outlineLvl w:val="9"/>
        <w:rPr>
          <w:rFonts w:hint="eastAsia" w:eastAsia="楷体_GB2312"/>
          <w:b/>
          <w:bCs w:val="0"/>
          <w:kern w:val="0"/>
          <w:sz w:val="32"/>
          <w:szCs w:val="32"/>
          <w:lang w:val="en-US" w:eastAsia="zh-CN"/>
        </w:rPr>
      </w:pPr>
    </w:p>
    <w:p w14:paraId="4C999931">
      <w:pPr>
        <w:bidi w:val="0"/>
        <w:rPr>
          <w:rFonts w:hint="eastAsia"/>
          <w:lang w:val="en-US" w:eastAsia="zh-CN"/>
        </w:rPr>
      </w:pPr>
    </w:p>
    <w:p w14:paraId="132913ED">
      <w:pPr>
        <w:bidi w:val="0"/>
        <w:rPr>
          <w:rFonts w:hint="eastAsia"/>
          <w:lang w:val="en-US" w:eastAsia="zh-CN"/>
        </w:rPr>
      </w:pPr>
    </w:p>
    <w:p w14:paraId="32CA245B">
      <w:pPr>
        <w:bidi w:val="0"/>
        <w:rPr>
          <w:rFonts w:hint="eastAsia"/>
          <w:lang w:val="en-US" w:eastAsia="zh-CN"/>
        </w:rPr>
      </w:pPr>
    </w:p>
    <w:p w14:paraId="172EE815">
      <w:pPr>
        <w:bidi w:val="0"/>
        <w:rPr>
          <w:rFonts w:hint="eastAsia"/>
          <w:lang w:val="en-US" w:eastAsia="zh-CN"/>
        </w:rPr>
      </w:pPr>
    </w:p>
    <w:p w14:paraId="4C368DCC">
      <w:pPr>
        <w:bidi w:val="0"/>
        <w:rPr>
          <w:rFonts w:hint="eastAsia"/>
          <w:lang w:val="en-US" w:eastAsia="zh-CN"/>
        </w:rPr>
      </w:pPr>
    </w:p>
    <w:p w14:paraId="4ADD009C">
      <w:pPr>
        <w:bidi w:val="0"/>
        <w:rPr>
          <w:rFonts w:hint="eastAsia"/>
          <w:lang w:val="en-US" w:eastAsia="zh-CN"/>
        </w:rPr>
      </w:pPr>
    </w:p>
    <w:p w14:paraId="52E7FB5A">
      <w:pPr>
        <w:bidi w:val="0"/>
        <w:jc w:val="left"/>
        <w:rPr>
          <w:rFonts w:hint="eastAsia"/>
          <w:lang w:val="en-US" w:eastAsia="zh-CN"/>
        </w:rPr>
      </w:pPr>
      <w:r>
        <w:rPr>
          <w:rFonts w:hint="eastAsia"/>
          <w:lang w:val="en-US" w:eastAsia="zh-CN"/>
        </w:rPr>
        <w:br w:type="page"/>
      </w:r>
    </w:p>
    <w:p w14:paraId="1BADE59C">
      <w:pPr>
        <w:ind w:left="0" w:leftChars="0" w:firstLine="639" w:firstLineChars="213"/>
        <w:rPr>
          <w:rFonts w:hint="eastAsia" w:ascii="黑体" w:hAnsi="黑体" w:eastAsia="黑体" w:cs="黑体"/>
          <w:sz w:val="30"/>
          <w:szCs w:val="30"/>
        </w:rPr>
      </w:pPr>
      <w:r>
        <w:rPr>
          <w:rFonts w:hint="eastAsia" w:ascii="黑体" w:hAnsi="黑体" w:eastAsia="黑体" w:cs="黑体"/>
          <w:sz w:val="30"/>
          <w:szCs w:val="30"/>
        </w:rPr>
        <w:t>一、部门</w:t>
      </w:r>
      <w:r>
        <w:rPr>
          <w:rFonts w:hint="eastAsia" w:ascii="黑体" w:hAnsi="黑体" w:eastAsia="黑体" w:cs="黑体"/>
          <w:sz w:val="30"/>
          <w:szCs w:val="30"/>
          <w:lang w:eastAsia="zh-CN"/>
        </w:rPr>
        <w:t>基本概况</w:t>
      </w:r>
    </w:p>
    <w:p w14:paraId="1EA561F8">
      <w:pPr>
        <w:ind w:left="0" w:leftChars="0" w:firstLine="641" w:firstLineChars="213"/>
        <w:rPr>
          <w:rFonts w:hint="eastAsia" w:ascii="仿宋" w:hAnsi="仿宋" w:eastAsia="仿宋" w:cs="仿宋"/>
          <w:b/>
          <w:bCs/>
          <w:sz w:val="30"/>
          <w:szCs w:val="30"/>
          <w:lang w:eastAsia="zh-CN"/>
        </w:rPr>
      </w:pPr>
      <w:r>
        <w:rPr>
          <w:rFonts w:hint="eastAsia" w:ascii="仿宋" w:hAnsi="仿宋" w:eastAsia="仿宋" w:cs="仿宋"/>
          <w:b/>
          <w:bCs/>
          <w:sz w:val="30"/>
          <w:szCs w:val="30"/>
          <w:lang w:eastAsia="zh-CN"/>
        </w:rPr>
        <w:t>（一）部门职责</w:t>
      </w:r>
    </w:p>
    <w:p w14:paraId="174D2689">
      <w:pPr>
        <w:ind w:left="0" w:leftChars="0" w:firstLine="639" w:firstLineChars="213"/>
        <w:rPr>
          <w:rFonts w:hint="eastAsia" w:ascii="仿宋" w:hAnsi="仿宋" w:eastAsia="仿宋" w:cs="仿宋"/>
          <w:sz w:val="30"/>
          <w:szCs w:val="30"/>
          <w:lang w:eastAsia="zh-CN"/>
        </w:rPr>
      </w:pPr>
      <w:r>
        <w:rPr>
          <w:rFonts w:hint="eastAsia" w:ascii="仿宋" w:hAnsi="仿宋" w:eastAsia="仿宋" w:cs="仿宋"/>
          <w:sz w:val="30"/>
          <w:szCs w:val="30"/>
          <w:lang w:val="en-US" w:eastAsia="zh-CN"/>
        </w:rPr>
        <w:t>怀化市广播电视监测中心是怀化市文化旅游广电体育局下属全额拨款二级事业单位，业务工作归口怀化市文化旅游广电体育局主管，负责全市广播电视频道节目信号监测、节目内容监看监评、市级应急广播体系平台运维等职责。</w:t>
      </w:r>
    </w:p>
    <w:p w14:paraId="78C8CC1D">
      <w:pPr>
        <w:ind w:left="0" w:leftChars="0" w:firstLine="641" w:firstLineChars="213"/>
        <w:rPr>
          <w:rFonts w:hint="eastAsia" w:ascii="仿宋" w:hAnsi="仿宋" w:eastAsia="仿宋" w:cs="仿宋"/>
          <w:b/>
          <w:bCs/>
          <w:sz w:val="30"/>
          <w:szCs w:val="30"/>
          <w:lang w:eastAsia="zh-CN"/>
        </w:rPr>
      </w:pPr>
      <w:r>
        <w:rPr>
          <w:rFonts w:hint="eastAsia" w:ascii="仿宋" w:hAnsi="仿宋" w:eastAsia="仿宋" w:cs="仿宋"/>
          <w:b/>
          <w:bCs/>
          <w:sz w:val="30"/>
          <w:szCs w:val="30"/>
          <w:lang w:eastAsia="zh-CN"/>
        </w:rPr>
        <w:t>（二）机构设置情况</w:t>
      </w:r>
    </w:p>
    <w:p w14:paraId="4C5FA435">
      <w:pPr>
        <w:ind w:left="0" w:leftChars="0" w:firstLine="639" w:firstLineChars="213"/>
        <w:rPr>
          <w:rFonts w:hint="eastAsia" w:ascii="仿宋" w:hAnsi="仿宋" w:eastAsia="仿宋" w:cs="仿宋"/>
          <w:sz w:val="30"/>
          <w:szCs w:val="30"/>
          <w:lang w:eastAsia="zh-CN"/>
        </w:rPr>
      </w:pPr>
      <w:r>
        <w:rPr>
          <w:rFonts w:hint="eastAsia" w:ascii="仿宋" w:hAnsi="仿宋" w:eastAsia="仿宋" w:cs="仿宋"/>
          <w:sz w:val="30"/>
          <w:szCs w:val="30"/>
          <w:lang w:val="en-US" w:eastAsia="zh-CN"/>
        </w:rPr>
        <w:t>怀化市广播电视监测中心</w:t>
      </w:r>
      <w:r>
        <w:rPr>
          <w:rFonts w:hint="eastAsia" w:ascii="仿宋" w:hAnsi="仿宋" w:eastAsia="仿宋" w:cs="仿宋"/>
          <w:sz w:val="30"/>
          <w:szCs w:val="30"/>
          <w:lang w:eastAsia="zh-CN"/>
        </w:rPr>
        <w:t>作为</w:t>
      </w:r>
      <w:r>
        <w:rPr>
          <w:rFonts w:hint="eastAsia" w:ascii="仿宋" w:hAnsi="仿宋" w:eastAsia="仿宋" w:cs="仿宋"/>
          <w:sz w:val="30"/>
          <w:szCs w:val="30"/>
          <w:lang w:val="en-US" w:eastAsia="zh-CN"/>
        </w:rPr>
        <w:t>怀化市文化旅游广电体育局</w:t>
      </w:r>
      <w:r>
        <w:rPr>
          <w:rFonts w:hint="eastAsia" w:ascii="仿宋" w:hAnsi="仿宋" w:eastAsia="仿宋" w:cs="仿宋"/>
          <w:sz w:val="30"/>
          <w:szCs w:val="30"/>
          <w:lang w:eastAsia="zh-CN"/>
        </w:rPr>
        <w:t>单位的二级部门预算单位，内设科室为：</w:t>
      </w:r>
      <w:r>
        <w:rPr>
          <w:rFonts w:hint="eastAsia" w:ascii="仿宋" w:hAnsi="仿宋" w:eastAsia="仿宋" w:cs="仿宋"/>
          <w:sz w:val="30"/>
          <w:szCs w:val="30"/>
          <w:lang w:val="en-US" w:eastAsia="zh-CN"/>
        </w:rPr>
        <w:t>办公室、监听监看部、技术部、财务室</w:t>
      </w:r>
      <w:r>
        <w:rPr>
          <w:rFonts w:hint="eastAsia" w:ascii="仿宋" w:hAnsi="仿宋" w:eastAsia="仿宋" w:cs="仿宋"/>
          <w:sz w:val="30"/>
          <w:szCs w:val="30"/>
          <w:lang w:eastAsia="zh-CN"/>
        </w:rPr>
        <w:t>。</w:t>
      </w:r>
    </w:p>
    <w:p w14:paraId="33483E74">
      <w:pPr>
        <w:ind w:left="0" w:leftChars="0" w:firstLine="639" w:firstLineChars="213"/>
        <w:rPr>
          <w:rFonts w:hint="eastAsia" w:ascii="黑体" w:hAnsi="黑体" w:eastAsia="黑体" w:cs="黑体"/>
          <w:sz w:val="30"/>
          <w:szCs w:val="30"/>
          <w:lang w:eastAsia="zh-CN"/>
        </w:rPr>
      </w:pPr>
      <w:r>
        <w:rPr>
          <w:rFonts w:hint="eastAsia" w:ascii="黑体" w:hAnsi="黑体" w:eastAsia="黑体" w:cs="黑体"/>
          <w:sz w:val="30"/>
          <w:szCs w:val="30"/>
          <w:lang w:eastAsia="zh-CN"/>
        </w:rPr>
        <w:t>二、部门预算单位构成</w:t>
      </w:r>
    </w:p>
    <w:p w14:paraId="6DD2A122">
      <w:pPr>
        <w:ind w:left="0" w:leftChars="0" w:firstLine="639" w:firstLineChars="213"/>
        <w:rPr>
          <w:rFonts w:hint="eastAsia" w:ascii="仿宋" w:hAnsi="仿宋" w:eastAsia="仿宋" w:cs="仿宋"/>
          <w:sz w:val="30"/>
          <w:szCs w:val="30"/>
          <w:lang w:eastAsia="zh-CN"/>
        </w:rPr>
      </w:pPr>
      <w:r>
        <w:rPr>
          <w:rFonts w:hint="eastAsia" w:ascii="仿宋" w:hAnsi="仿宋" w:eastAsia="仿宋" w:cs="仿宋"/>
          <w:sz w:val="30"/>
          <w:szCs w:val="30"/>
          <w:lang w:val="en-US" w:eastAsia="zh-CN"/>
        </w:rPr>
        <w:t>纳入2026年怀化市文化旅游广电体育局部门预算编制范围的包括：怀化市广播电视监测中心</w:t>
      </w:r>
      <w:r>
        <w:rPr>
          <w:rFonts w:hint="eastAsia" w:ascii="仿宋" w:hAnsi="仿宋" w:eastAsia="仿宋" w:cs="仿宋"/>
          <w:sz w:val="30"/>
          <w:szCs w:val="30"/>
          <w:lang w:eastAsia="zh-CN"/>
        </w:rPr>
        <w:t>部门（二级部门）。</w:t>
      </w:r>
    </w:p>
    <w:p w14:paraId="29C24CA2">
      <w:pPr>
        <w:ind w:left="0" w:leftChars="0" w:firstLine="639" w:firstLineChars="213"/>
        <w:rPr>
          <w:rFonts w:hint="eastAsia" w:ascii="黑体" w:hAnsi="黑体" w:eastAsia="黑体" w:cs="黑体"/>
          <w:sz w:val="30"/>
          <w:szCs w:val="30"/>
        </w:rPr>
      </w:pPr>
      <w:r>
        <w:rPr>
          <w:rFonts w:hint="eastAsia" w:ascii="黑体" w:hAnsi="黑体" w:eastAsia="黑体" w:cs="黑体"/>
          <w:sz w:val="30"/>
          <w:szCs w:val="30"/>
        </w:rPr>
        <w:t>三、部门收支总体情况</w:t>
      </w:r>
    </w:p>
    <w:p w14:paraId="1996D809">
      <w:pPr>
        <w:ind w:left="0" w:leftChars="0" w:firstLine="639" w:firstLineChars="213"/>
        <w:rPr>
          <w:rFonts w:hint="eastAsia" w:ascii="仿宋" w:hAnsi="仿宋" w:eastAsia="仿宋" w:cs="仿宋"/>
          <w:sz w:val="30"/>
          <w:szCs w:val="30"/>
        </w:rPr>
      </w:pPr>
      <w:r>
        <w:rPr>
          <w:rFonts w:hint="eastAsia" w:ascii="仿宋" w:hAnsi="仿宋" w:eastAsia="仿宋" w:cs="仿宋"/>
          <w:sz w:val="30"/>
          <w:szCs w:val="30"/>
          <w:lang w:val="en-US" w:eastAsia="zh-CN"/>
        </w:rPr>
        <w:t>2026年部门预算包括本单位预算内的收支情况。</w:t>
      </w:r>
    </w:p>
    <w:p w14:paraId="7E2DB13E">
      <w:pPr>
        <w:ind w:left="0" w:leftChars="0" w:firstLine="641" w:firstLineChars="213"/>
        <w:rPr>
          <w:rFonts w:hint="eastAsia" w:ascii="仿宋" w:hAnsi="仿宋" w:eastAsia="仿宋" w:cs="仿宋"/>
          <w:b/>
          <w:bCs/>
          <w:sz w:val="30"/>
          <w:szCs w:val="30"/>
        </w:rPr>
      </w:pPr>
      <w:r>
        <w:rPr>
          <w:rFonts w:hint="eastAsia" w:ascii="仿宋" w:hAnsi="仿宋" w:eastAsia="仿宋" w:cs="仿宋"/>
          <w:b/>
          <w:bCs/>
          <w:sz w:val="30"/>
          <w:szCs w:val="30"/>
        </w:rPr>
        <w:t>（一）收入预算</w:t>
      </w:r>
    </w:p>
    <w:p w14:paraId="042A1E93">
      <w:pPr>
        <w:ind w:left="0" w:leftChars="0" w:firstLine="639" w:firstLineChars="213"/>
        <w:rPr>
          <w:rFonts w:hint="eastAsia" w:ascii="仿宋" w:hAnsi="仿宋" w:eastAsia="仿宋" w:cs="仿宋"/>
          <w:sz w:val="30"/>
          <w:szCs w:val="30"/>
        </w:rPr>
      </w:pPr>
      <w:r>
        <w:rPr>
          <w:rFonts w:hint="eastAsia" w:ascii="仿宋" w:hAnsi="仿宋" w:eastAsia="仿宋" w:cs="仿宋"/>
          <w:sz w:val="30"/>
          <w:szCs w:val="30"/>
          <w:lang w:val="en-US" w:eastAsia="zh-CN"/>
        </w:rPr>
        <w:t>包括一般公共预算、政府性基金、国有资本经营预算等财政拨款收入，以及经营收入、事业收入等单位资金。2026年年初本部门收入预算354.97万元，其中，一般公共预算拨款354.97万元，政府性基金预算拨款0万元，纳入财政专户管理的非税收入拨款0万元，国有资本经营预算拨款0万元，上年结转结余0万元。同口径对比，收入较上年增加26.35万元，增长率7.99%，主要原因是优化人员经费保障，调整公用经费标准，弥补上年因人员退休减少的经费缺口。</w:t>
      </w:r>
    </w:p>
    <w:p w14:paraId="20B4464E">
      <w:pPr>
        <w:ind w:left="0" w:leftChars="0" w:firstLine="641" w:firstLineChars="213"/>
        <w:rPr>
          <w:rFonts w:hint="eastAsia" w:ascii="仿宋" w:hAnsi="仿宋" w:eastAsia="仿宋" w:cs="仿宋"/>
          <w:b/>
          <w:bCs/>
          <w:sz w:val="30"/>
          <w:szCs w:val="30"/>
        </w:rPr>
      </w:pPr>
      <w:r>
        <w:rPr>
          <w:rFonts w:hint="eastAsia" w:ascii="仿宋" w:hAnsi="仿宋" w:eastAsia="仿宋" w:cs="仿宋"/>
          <w:b/>
          <w:bCs/>
          <w:sz w:val="30"/>
          <w:szCs w:val="30"/>
        </w:rPr>
        <w:t>（二）支出预算</w:t>
      </w:r>
    </w:p>
    <w:p w14:paraId="77CC2539">
      <w:pPr>
        <w:ind w:left="0" w:leftChars="0" w:firstLine="639" w:firstLineChars="213"/>
        <w:rPr>
          <w:rFonts w:hint="eastAsia" w:ascii="仿宋" w:hAnsi="仿宋" w:eastAsia="仿宋" w:cs="仿宋"/>
          <w:sz w:val="30"/>
          <w:szCs w:val="30"/>
        </w:rPr>
      </w:pPr>
      <w:r>
        <w:rPr>
          <w:rFonts w:hint="eastAsia" w:ascii="仿宋" w:hAnsi="仿宋" w:eastAsia="仿宋" w:cs="仿宋"/>
          <w:sz w:val="30"/>
          <w:szCs w:val="30"/>
          <w:lang w:val="en-US" w:eastAsia="zh-CN"/>
        </w:rPr>
        <w:t>2026年本部门支出预算数354.97万元，其中，文化旅游体育与传媒支出354.97万元，占总支出的100%；一般公共服务支出、社会保障和就业支出、卫生健康支出、住房保障支出等其他支出均为0万元（支出科目归类优化调整，原分散科目统一归集至文化旅游体育与传媒支出）。同口径对比，支出较上年增加26.35万元，增长率7.99%，主要原因是同步增加人员经费和公用经费，保障广播电视监测、应急广播平台运维等核心工作开展。</w:t>
      </w:r>
    </w:p>
    <w:p w14:paraId="730D8119">
      <w:pPr>
        <w:ind w:left="0" w:leftChars="0" w:firstLine="639" w:firstLineChars="213"/>
        <w:rPr>
          <w:rFonts w:hint="eastAsia" w:ascii="黑体" w:hAnsi="黑体" w:eastAsia="黑体" w:cs="黑体"/>
          <w:sz w:val="30"/>
          <w:szCs w:val="30"/>
        </w:rPr>
      </w:pPr>
      <w:r>
        <w:rPr>
          <w:rFonts w:hint="eastAsia" w:ascii="黑体" w:hAnsi="黑体" w:eastAsia="黑体" w:cs="黑体"/>
          <w:sz w:val="30"/>
          <w:szCs w:val="30"/>
        </w:rPr>
        <w:t>四、一般公共预算财政拨款收支情况</w:t>
      </w:r>
    </w:p>
    <w:p w14:paraId="3457B53B">
      <w:pPr>
        <w:ind w:left="0" w:leftChars="0" w:firstLine="639" w:firstLineChars="213"/>
        <w:rPr>
          <w:rFonts w:hint="eastAsia" w:ascii="仿宋" w:hAnsi="仿宋" w:eastAsia="仿宋" w:cs="仿宋"/>
          <w:sz w:val="30"/>
          <w:szCs w:val="30"/>
        </w:rPr>
      </w:pPr>
      <w:r>
        <w:rPr>
          <w:rFonts w:hint="eastAsia" w:ascii="仿宋" w:hAnsi="仿宋" w:eastAsia="仿宋" w:cs="仿宋"/>
          <w:sz w:val="30"/>
          <w:szCs w:val="30"/>
          <w:lang w:val="en-US" w:eastAsia="zh-CN"/>
        </w:rPr>
        <w:t>2026年本部门一般公共预算拨款支出为354.97万元，全部为文化旅游体育与传媒支出，占100%。具体安排情况如下：</w:t>
      </w:r>
    </w:p>
    <w:p w14:paraId="5CEA0BAE">
      <w:pPr>
        <w:ind w:left="0" w:leftChars="0" w:firstLine="641" w:firstLineChars="213"/>
        <w:rPr>
          <w:rFonts w:hint="eastAsia" w:ascii="仿宋" w:hAnsi="仿宋" w:eastAsia="仿宋" w:cs="仿宋"/>
          <w:b/>
          <w:bCs/>
          <w:sz w:val="30"/>
          <w:szCs w:val="30"/>
        </w:rPr>
      </w:pPr>
      <w:r>
        <w:rPr>
          <w:rFonts w:hint="eastAsia" w:ascii="仿宋" w:hAnsi="仿宋" w:eastAsia="仿宋" w:cs="仿宋"/>
          <w:b/>
          <w:bCs/>
          <w:sz w:val="30"/>
          <w:szCs w:val="30"/>
        </w:rPr>
        <w:t>（一）基本支出</w:t>
      </w:r>
    </w:p>
    <w:p w14:paraId="23C583BB">
      <w:pPr>
        <w:ind w:left="0" w:leftChars="0" w:firstLine="639" w:firstLineChars="213"/>
        <w:rPr>
          <w:rFonts w:hint="eastAsia" w:ascii="仿宋" w:hAnsi="仿宋" w:eastAsia="仿宋" w:cs="仿宋"/>
          <w:sz w:val="30"/>
          <w:szCs w:val="30"/>
        </w:rPr>
      </w:pPr>
      <w:r>
        <w:rPr>
          <w:rFonts w:hint="eastAsia" w:ascii="仿宋" w:hAnsi="仿宋" w:eastAsia="仿宋" w:cs="仿宋"/>
          <w:sz w:val="30"/>
          <w:szCs w:val="30"/>
          <w:lang w:val="en-US" w:eastAsia="zh-CN"/>
        </w:rPr>
        <w:t>2026年年初预算数为354.97万元，是保障单位机构正常运转、完成日常工作任务发生的各项支出。其中：</w:t>
      </w:r>
    </w:p>
    <w:p w14:paraId="6062700B">
      <w:pPr>
        <w:ind w:left="0" w:leftChars="0" w:firstLine="639" w:firstLineChars="213"/>
        <w:rPr>
          <w:rFonts w:hint="eastAsia" w:ascii="仿宋" w:hAnsi="仿宋" w:eastAsia="仿宋" w:cs="仿宋"/>
          <w:sz w:val="30"/>
          <w:szCs w:val="30"/>
        </w:rPr>
      </w:pPr>
      <w:r>
        <w:rPr>
          <w:rFonts w:hint="eastAsia" w:ascii="仿宋" w:hAnsi="仿宋" w:eastAsia="仿宋" w:cs="仿宋"/>
          <w:sz w:val="30"/>
          <w:szCs w:val="30"/>
          <w:lang w:val="en-US" w:eastAsia="zh-CN"/>
        </w:rPr>
        <w:t>1.</w:t>
      </w:r>
      <w:r>
        <w:rPr>
          <w:rFonts w:hint="eastAsia" w:ascii="仿宋" w:hAnsi="仿宋" w:eastAsia="仿宋" w:cs="仿宋"/>
          <w:sz w:val="30"/>
          <w:szCs w:val="30"/>
        </w:rPr>
        <w:t>人员经费300.30万元，主要用于基本工资88.06万元、津贴补贴0.04万元、奖金49.33万元、绩效工资49.46万元、伙食补助费6.73万元、机关事业单位基本养老保险缴费28.04万元、职工基本医疗保险缴费12.44万元、其他社会保障缴费17.59万元、住房公积金22.43万元、其他对个人和家庭的补助22.50万元、生活补助2.30万元、奖励金1.37万元等；</w:t>
      </w:r>
    </w:p>
    <w:p w14:paraId="2CD777D7">
      <w:pPr>
        <w:ind w:left="0" w:leftChars="0" w:firstLine="639" w:firstLineChars="213"/>
        <w:rPr>
          <w:rFonts w:hint="eastAsia" w:ascii="仿宋" w:hAnsi="仿宋" w:eastAsia="仿宋" w:cs="仿宋"/>
          <w:sz w:val="30"/>
          <w:szCs w:val="30"/>
        </w:rPr>
      </w:pPr>
      <w:r>
        <w:rPr>
          <w:rFonts w:hint="eastAsia" w:ascii="仿宋" w:hAnsi="仿宋" w:eastAsia="仿宋" w:cs="仿宋"/>
          <w:sz w:val="30"/>
          <w:szCs w:val="30"/>
          <w:lang w:val="en-US" w:eastAsia="zh-CN"/>
        </w:rPr>
        <w:t>2.</w:t>
      </w:r>
      <w:r>
        <w:rPr>
          <w:rFonts w:hint="eastAsia" w:ascii="仿宋" w:hAnsi="仿宋" w:eastAsia="仿宋" w:cs="仿宋"/>
          <w:sz w:val="30"/>
          <w:szCs w:val="30"/>
        </w:rPr>
        <w:t>公用经费54.67万元，主要用于办公费1.00万元、印刷费0.30万元、水费0.03万元、电费6.00万元、邮电费0.70万元、租赁费6.00万元、差旅费4.00万元、维修（护）费0.50万元、培训费0.30万元、公务接待费0.20万元、劳务费4.00万元、工会经费12.95万元、其他商品和服务支出18.69万元等。</w:t>
      </w:r>
    </w:p>
    <w:p w14:paraId="5EAAB743">
      <w:pPr>
        <w:ind w:left="0" w:leftChars="0" w:firstLine="641" w:firstLineChars="213"/>
        <w:rPr>
          <w:rFonts w:hint="eastAsia" w:ascii="仿宋" w:hAnsi="仿宋" w:eastAsia="仿宋" w:cs="仿宋"/>
          <w:b/>
          <w:bCs/>
          <w:sz w:val="30"/>
          <w:szCs w:val="30"/>
        </w:rPr>
      </w:pPr>
      <w:r>
        <w:rPr>
          <w:rFonts w:hint="eastAsia" w:ascii="仿宋" w:hAnsi="仿宋" w:eastAsia="仿宋" w:cs="仿宋"/>
          <w:b/>
          <w:bCs/>
          <w:sz w:val="30"/>
          <w:szCs w:val="30"/>
        </w:rPr>
        <w:t>（二）项目支出</w:t>
      </w:r>
    </w:p>
    <w:p w14:paraId="5148DDAD">
      <w:pPr>
        <w:ind w:left="0" w:leftChars="0" w:firstLine="639" w:firstLineChars="213"/>
        <w:rPr>
          <w:rFonts w:hint="eastAsia" w:ascii="仿宋" w:hAnsi="仿宋" w:eastAsia="仿宋" w:cs="仿宋"/>
          <w:sz w:val="30"/>
          <w:szCs w:val="30"/>
        </w:rPr>
      </w:pPr>
      <w:r>
        <w:rPr>
          <w:rFonts w:hint="eastAsia" w:ascii="仿宋" w:hAnsi="仿宋" w:eastAsia="仿宋" w:cs="仿宋"/>
          <w:sz w:val="30"/>
          <w:szCs w:val="30"/>
          <w:lang w:val="en-US" w:eastAsia="zh-CN"/>
        </w:rPr>
        <w:t>2026年无一般公共预算安排的项目支出，全部支出为基本支出，聚焦广播电视监测、应急广播平台运维等日常核心工作保障。</w:t>
      </w:r>
    </w:p>
    <w:p w14:paraId="7D3BCE5B">
      <w:pPr>
        <w:ind w:left="0" w:leftChars="0" w:firstLine="639" w:firstLineChars="213"/>
        <w:rPr>
          <w:rFonts w:hint="eastAsia" w:ascii="黑体" w:hAnsi="黑体" w:eastAsia="黑体" w:cs="黑体"/>
          <w:sz w:val="30"/>
          <w:szCs w:val="30"/>
        </w:rPr>
      </w:pPr>
      <w:r>
        <w:rPr>
          <w:rFonts w:hint="eastAsia" w:ascii="黑体" w:hAnsi="黑体" w:eastAsia="黑体" w:cs="黑体"/>
          <w:sz w:val="30"/>
          <w:szCs w:val="30"/>
        </w:rPr>
        <w:t>五、政府性基金支出情况</w:t>
      </w:r>
    </w:p>
    <w:p w14:paraId="21780D18">
      <w:pPr>
        <w:ind w:left="0" w:leftChars="0" w:firstLine="639" w:firstLineChars="213"/>
        <w:rPr>
          <w:rFonts w:hint="eastAsia" w:ascii="仿宋" w:hAnsi="仿宋" w:eastAsia="仿宋" w:cs="仿宋"/>
          <w:sz w:val="30"/>
          <w:szCs w:val="30"/>
        </w:rPr>
      </w:pPr>
      <w:r>
        <w:rPr>
          <w:rFonts w:hint="eastAsia" w:ascii="仿宋" w:hAnsi="仿宋" w:eastAsia="仿宋" w:cs="仿宋"/>
          <w:sz w:val="30"/>
          <w:szCs w:val="30"/>
          <w:lang w:val="en-US" w:eastAsia="zh-CN"/>
        </w:rPr>
        <w:t>2026年无政府性基金预算支出。</w:t>
      </w:r>
    </w:p>
    <w:p w14:paraId="2D91120C">
      <w:pPr>
        <w:ind w:left="0" w:leftChars="0" w:firstLine="639" w:firstLineChars="213"/>
        <w:rPr>
          <w:rFonts w:hint="eastAsia" w:ascii="黑体" w:hAnsi="黑体" w:eastAsia="黑体" w:cs="黑体"/>
          <w:sz w:val="30"/>
          <w:szCs w:val="30"/>
        </w:rPr>
      </w:pPr>
      <w:r>
        <w:rPr>
          <w:rFonts w:hint="eastAsia" w:ascii="黑体" w:hAnsi="黑体" w:eastAsia="黑体" w:cs="黑体"/>
          <w:sz w:val="30"/>
          <w:szCs w:val="30"/>
        </w:rPr>
        <w:t>六、其他重要事项的情况说明</w:t>
      </w:r>
    </w:p>
    <w:p w14:paraId="43E4E2CD">
      <w:pPr>
        <w:ind w:left="0" w:leftChars="0" w:firstLine="641" w:firstLineChars="213"/>
        <w:rPr>
          <w:rFonts w:hint="eastAsia" w:ascii="仿宋" w:hAnsi="仿宋" w:eastAsia="仿宋" w:cs="仿宋"/>
          <w:b/>
          <w:bCs/>
          <w:sz w:val="30"/>
          <w:szCs w:val="30"/>
        </w:rPr>
      </w:pPr>
      <w:r>
        <w:rPr>
          <w:rFonts w:hint="eastAsia" w:ascii="仿宋" w:hAnsi="仿宋" w:eastAsia="仿宋" w:cs="仿宋"/>
          <w:b/>
          <w:bCs/>
          <w:sz w:val="30"/>
          <w:szCs w:val="30"/>
        </w:rPr>
        <w:t>（一）一般公共预算“三公”经费预算</w:t>
      </w:r>
    </w:p>
    <w:p w14:paraId="76DFA864">
      <w:pPr>
        <w:ind w:left="0" w:leftChars="0" w:firstLine="639" w:firstLineChars="213"/>
        <w:rPr>
          <w:rFonts w:hint="eastAsia" w:ascii="仿宋" w:hAnsi="仿宋" w:eastAsia="仿宋" w:cs="仿宋"/>
          <w:sz w:val="30"/>
          <w:szCs w:val="30"/>
        </w:rPr>
      </w:pPr>
      <w:r>
        <w:rPr>
          <w:rFonts w:hint="eastAsia" w:ascii="仿宋" w:hAnsi="仿宋" w:eastAsia="仿宋" w:cs="仿宋"/>
          <w:sz w:val="30"/>
          <w:szCs w:val="30"/>
          <w:lang w:val="en-US" w:eastAsia="zh-CN"/>
        </w:rPr>
        <w:t>2026年怀化市广播电视监测中心安排一般公共预算“三公”经费预算数为0.20万元，其中，公务接待费0.20万元，公务用车购置费0万元，公务用车运行维护费0万元，因公出国（境）费0万元。2026年一般公共预算“三公”经费预算较上年预算数减少3.30万元，下降94.29%，主要因为严格执行“三公”经费“只减不增”原则，全面压缩非必要支出，取消公务用车运行维护费预算，仅保留最低限度的必要公务接待支出。</w:t>
      </w:r>
    </w:p>
    <w:p w14:paraId="64645AF7">
      <w:pPr>
        <w:ind w:left="0" w:leftChars="0" w:firstLine="641" w:firstLineChars="213"/>
        <w:rPr>
          <w:rFonts w:hint="eastAsia" w:ascii="仿宋" w:hAnsi="仿宋" w:eastAsia="仿宋" w:cs="仿宋"/>
          <w:b/>
          <w:bCs/>
          <w:sz w:val="30"/>
          <w:szCs w:val="30"/>
        </w:rPr>
      </w:pPr>
      <w:r>
        <w:rPr>
          <w:rFonts w:hint="eastAsia" w:ascii="仿宋" w:hAnsi="仿宋" w:eastAsia="仿宋" w:cs="仿宋"/>
          <w:b/>
          <w:bCs/>
          <w:sz w:val="30"/>
          <w:szCs w:val="30"/>
        </w:rPr>
        <w:t>（二）机关运行经费</w:t>
      </w:r>
    </w:p>
    <w:p w14:paraId="32A87056">
      <w:pPr>
        <w:ind w:left="0" w:leftChars="0" w:firstLine="639" w:firstLineChars="213"/>
        <w:rPr>
          <w:rFonts w:hint="eastAsia" w:ascii="仿宋" w:hAnsi="仿宋" w:eastAsia="仿宋" w:cs="仿宋"/>
          <w:sz w:val="30"/>
          <w:szCs w:val="30"/>
        </w:rPr>
      </w:pPr>
      <w:r>
        <w:rPr>
          <w:rFonts w:hint="eastAsia" w:ascii="仿宋" w:hAnsi="仿宋" w:eastAsia="仿宋" w:cs="仿宋"/>
          <w:sz w:val="30"/>
          <w:szCs w:val="30"/>
          <w:lang w:val="en-US" w:eastAsia="zh-CN"/>
        </w:rPr>
        <w:t>2026年怀化市广播电视监测中心机关运行经费54.67万元（公开表6公用经费安排的商品和服务支出），同口径对比（2025年按公开表6数据21.6万元测算），比上年预算数增加33.07万元，增长率153.10%，主要原因是本年度足额保障工会经费、租赁费、电费等刚性支出，同时增加其他商品和服务支出，用于广播电视监测设备维护、应急广播平台运维等专业工作。主要用于：工会经费12.95万元、租赁费6.00万元、电费6.00万元、其他商品和服务支出18.69万元、差旅费4.00万元等。</w:t>
      </w:r>
    </w:p>
    <w:p w14:paraId="29C5BC42">
      <w:pPr>
        <w:ind w:left="0" w:leftChars="0" w:firstLine="641" w:firstLineChars="213"/>
        <w:rPr>
          <w:rFonts w:hint="eastAsia" w:ascii="仿宋" w:hAnsi="仿宋" w:eastAsia="仿宋" w:cs="仿宋"/>
          <w:b/>
          <w:bCs/>
          <w:sz w:val="30"/>
          <w:szCs w:val="30"/>
        </w:rPr>
      </w:pPr>
      <w:r>
        <w:rPr>
          <w:rFonts w:hint="eastAsia" w:ascii="仿宋" w:hAnsi="仿宋" w:eastAsia="仿宋" w:cs="仿宋"/>
          <w:b/>
          <w:bCs/>
          <w:sz w:val="30"/>
          <w:szCs w:val="30"/>
        </w:rPr>
        <w:t>（三）政府采购情况</w:t>
      </w:r>
    </w:p>
    <w:p w14:paraId="2B2E2CB1">
      <w:pPr>
        <w:ind w:left="0" w:leftChars="0" w:firstLine="639" w:firstLineChars="213"/>
        <w:rPr>
          <w:rFonts w:hint="eastAsia" w:ascii="仿宋" w:hAnsi="仿宋" w:eastAsia="仿宋" w:cs="仿宋"/>
          <w:sz w:val="30"/>
          <w:szCs w:val="30"/>
        </w:rPr>
      </w:pPr>
      <w:r>
        <w:rPr>
          <w:rFonts w:hint="eastAsia" w:ascii="仿宋" w:hAnsi="仿宋" w:eastAsia="仿宋" w:cs="仿宋"/>
          <w:sz w:val="30"/>
          <w:szCs w:val="30"/>
          <w:lang w:val="en-US" w:eastAsia="zh-CN"/>
        </w:rPr>
        <w:t>2026年怀化市广播电视监测中心政府采购预算总额0万元，与上年保持一致，无政府采购货物、工程及服务预算。</w:t>
      </w:r>
    </w:p>
    <w:p w14:paraId="66FF3A0B">
      <w:pPr>
        <w:ind w:left="0" w:leftChars="0" w:firstLine="641" w:firstLineChars="213"/>
        <w:rPr>
          <w:rFonts w:hint="eastAsia" w:ascii="仿宋" w:hAnsi="仿宋" w:eastAsia="仿宋" w:cs="仿宋"/>
          <w:b/>
          <w:bCs/>
          <w:sz w:val="30"/>
          <w:szCs w:val="30"/>
        </w:rPr>
      </w:pPr>
      <w:r>
        <w:rPr>
          <w:rFonts w:hint="eastAsia" w:ascii="仿宋" w:hAnsi="仿宋" w:eastAsia="仿宋" w:cs="仿宋"/>
          <w:b/>
          <w:bCs/>
          <w:sz w:val="30"/>
          <w:szCs w:val="30"/>
        </w:rPr>
        <w:t>（四）预算绩效管理情况</w:t>
      </w:r>
    </w:p>
    <w:p w14:paraId="54FE8539">
      <w:pPr>
        <w:ind w:left="0" w:leftChars="0" w:firstLine="639" w:firstLineChars="213"/>
        <w:rPr>
          <w:rFonts w:hint="eastAsia" w:ascii="仿宋" w:hAnsi="仿宋" w:eastAsia="仿宋" w:cs="仿宋"/>
          <w:sz w:val="30"/>
          <w:szCs w:val="30"/>
        </w:rPr>
      </w:pPr>
      <w:r>
        <w:rPr>
          <w:rFonts w:hint="eastAsia" w:ascii="仿宋" w:hAnsi="仿宋" w:eastAsia="仿宋" w:cs="仿宋"/>
          <w:sz w:val="30"/>
          <w:szCs w:val="30"/>
          <w:lang w:val="en-US" w:eastAsia="zh-CN"/>
        </w:rPr>
        <w:t>按照市本级预算绩效管理工作的总体要求，2026年我单位</w:t>
      </w:r>
      <w:bookmarkStart w:id="0" w:name="_GoBack"/>
      <w:bookmarkEnd w:id="0"/>
      <w:r>
        <w:rPr>
          <w:rFonts w:hint="eastAsia" w:ascii="仿宋" w:hAnsi="仿宋" w:eastAsia="仿宋" w:cs="仿宋"/>
          <w:sz w:val="30"/>
          <w:szCs w:val="30"/>
          <w:lang w:val="en-US" w:eastAsia="zh-CN"/>
        </w:rPr>
        <w:t>整体支出354.97万元，全部实行整体支出绩效目标管理；无项目支出，因此无编报绩效目标的项目。</w:t>
      </w:r>
    </w:p>
    <w:p w14:paraId="19529639">
      <w:pPr>
        <w:ind w:left="0" w:leftChars="0" w:firstLine="641" w:firstLineChars="213"/>
        <w:rPr>
          <w:rFonts w:hint="eastAsia" w:ascii="仿宋" w:hAnsi="仿宋" w:eastAsia="仿宋" w:cs="仿宋"/>
          <w:b/>
          <w:bCs/>
          <w:sz w:val="30"/>
          <w:szCs w:val="30"/>
        </w:rPr>
      </w:pPr>
      <w:r>
        <w:rPr>
          <w:rFonts w:hint="eastAsia" w:ascii="仿宋" w:hAnsi="仿宋" w:eastAsia="仿宋" w:cs="仿宋"/>
          <w:b/>
          <w:bCs/>
          <w:sz w:val="30"/>
          <w:szCs w:val="30"/>
        </w:rPr>
        <w:t>（五）国有资产占用情况</w:t>
      </w:r>
    </w:p>
    <w:p w14:paraId="7E8F5565">
      <w:pPr>
        <w:ind w:left="0" w:leftChars="0" w:firstLine="639" w:firstLineChars="213"/>
        <w:rPr>
          <w:rFonts w:hint="eastAsia" w:ascii="仿宋" w:hAnsi="仿宋" w:eastAsia="仿宋" w:cs="仿宋"/>
          <w:sz w:val="30"/>
          <w:szCs w:val="30"/>
        </w:rPr>
      </w:pPr>
      <w:r>
        <w:rPr>
          <w:rFonts w:hint="eastAsia" w:ascii="仿宋" w:hAnsi="仿宋" w:eastAsia="仿宋" w:cs="仿宋"/>
          <w:sz w:val="30"/>
          <w:szCs w:val="30"/>
          <w:lang w:val="en-US" w:eastAsia="zh-CN"/>
        </w:rPr>
        <w:t>1.</w:t>
      </w:r>
      <w:r>
        <w:rPr>
          <w:rFonts w:hint="eastAsia" w:ascii="仿宋" w:hAnsi="仿宋" w:eastAsia="仿宋" w:cs="仿宋"/>
          <w:sz w:val="30"/>
          <w:szCs w:val="30"/>
        </w:rPr>
        <w:t>截至2025年12月31日，本部门共有车辆1辆，其中，一般公务用车0辆、一般执法执勤用车0辆、特种专业技术用车0辆、其他用车1辆。无单位价值50万元以上通用设备，无单价100万元以上专用设备。</w:t>
      </w:r>
    </w:p>
    <w:p w14:paraId="77930296">
      <w:pPr>
        <w:ind w:left="0" w:leftChars="0" w:firstLine="639" w:firstLineChars="213"/>
        <w:rPr>
          <w:rFonts w:hint="eastAsia" w:ascii="仿宋" w:hAnsi="仿宋" w:eastAsia="仿宋" w:cs="仿宋"/>
          <w:sz w:val="30"/>
          <w:szCs w:val="30"/>
        </w:rPr>
      </w:pPr>
      <w:r>
        <w:rPr>
          <w:rFonts w:hint="eastAsia" w:ascii="仿宋" w:hAnsi="仿宋" w:eastAsia="仿宋" w:cs="仿宋"/>
          <w:sz w:val="30"/>
          <w:szCs w:val="30"/>
          <w:lang w:val="en-US" w:eastAsia="zh-CN"/>
        </w:rPr>
        <w:t>2.</w:t>
      </w:r>
      <w:r>
        <w:rPr>
          <w:rFonts w:hint="eastAsia" w:ascii="仿宋" w:hAnsi="仿宋" w:eastAsia="仿宋" w:cs="仿宋"/>
          <w:sz w:val="30"/>
          <w:szCs w:val="30"/>
        </w:rPr>
        <w:t>2026年，本部门无拟新增公务用车、单价50万元以上通用设备及单价100万元以上专用设备的计划。</w:t>
      </w:r>
    </w:p>
    <w:p w14:paraId="23ECAC76">
      <w:pPr>
        <w:ind w:left="0" w:leftChars="0" w:firstLine="641" w:firstLineChars="213"/>
        <w:rPr>
          <w:rFonts w:hint="eastAsia" w:ascii="仿宋" w:hAnsi="仿宋" w:eastAsia="仿宋" w:cs="仿宋"/>
          <w:b/>
          <w:bCs/>
          <w:sz w:val="30"/>
          <w:szCs w:val="30"/>
        </w:rPr>
      </w:pPr>
      <w:r>
        <w:rPr>
          <w:rFonts w:hint="eastAsia" w:ascii="仿宋" w:hAnsi="仿宋" w:eastAsia="仿宋" w:cs="仿宋"/>
          <w:b/>
          <w:bCs/>
          <w:sz w:val="30"/>
          <w:szCs w:val="30"/>
        </w:rPr>
        <w:t>（六）预算绩效目标说明</w:t>
      </w:r>
    </w:p>
    <w:p w14:paraId="67E96742">
      <w:pPr>
        <w:ind w:left="0" w:leftChars="0" w:firstLine="639" w:firstLineChars="213"/>
        <w:rPr>
          <w:rFonts w:hint="eastAsia" w:ascii="仿宋" w:hAnsi="仿宋" w:eastAsia="仿宋" w:cs="仿宋"/>
          <w:sz w:val="30"/>
          <w:szCs w:val="30"/>
        </w:rPr>
      </w:pPr>
      <w:r>
        <w:rPr>
          <w:rFonts w:hint="eastAsia" w:ascii="仿宋" w:hAnsi="仿宋" w:eastAsia="仿宋" w:cs="仿宋"/>
          <w:sz w:val="30"/>
          <w:szCs w:val="30"/>
          <w:lang w:val="en-US" w:eastAsia="zh-CN"/>
        </w:rPr>
        <w:t>本部门所有支出实行绩效目标管理。纳入2026年部门整体支出绩效目标的金额为354.97万元，其中，基本支出354.97万元，无项目支出。具体绩效目标详见《部门整体支出绩效目标表》。</w:t>
      </w:r>
    </w:p>
    <w:p w14:paraId="6E5A41EF">
      <w:pPr>
        <w:ind w:left="0" w:leftChars="0" w:firstLine="641" w:firstLineChars="213"/>
        <w:rPr>
          <w:rFonts w:hint="eastAsia" w:ascii="仿宋" w:hAnsi="仿宋" w:eastAsia="仿宋" w:cs="仿宋"/>
          <w:b/>
          <w:bCs/>
          <w:sz w:val="30"/>
          <w:szCs w:val="30"/>
        </w:rPr>
      </w:pPr>
      <w:r>
        <w:rPr>
          <w:rFonts w:hint="eastAsia" w:ascii="仿宋" w:hAnsi="仿宋" w:eastAsia="仿宋" w:cs="仿宋"/>
          <w:b/>
          <w:bCs/>
          <w:sz w:val="30"/>
          <w:szCs w:val="30"/>
        </w:rPr>
        <w:t>（七）一般性支出情况</w:t>
      </w:r>
    </w:p>
    <w:p w14:paraId="27057254">
      <w:pPr>
        <w:ind w:left="0" w:leftChars="0" w:firstLine="639" w:firstLineChars="213"/>
        <w:rPr>
          <w:rFonts w:hint="eastAsia" w:ascii="仿宋" w:hAnsi="仿宋" w:eastAsia="仿宋" w:cs="仿宋"/>
          <w:sz w:val="30"/>
          <w:szCs w:val="30"/>
        </w:rPr>
      </w:pPr>
      <w:r>
        <w:rPr>
          <w:rFonts w:hint="eastAsia" w:ascii="仿宋" w:hAnsi="仿宋" w:eastAsia="仿宋" w:cs="仿宋"/>
          <w:sz w:val="30"/>
          <w:szCs w:val="30"/>
          <w:lang w:val="en-US" w:eastAsia="zh-CN"/>
        </w:rPr>
        <w:t>1.</w:t>
      </w:r>
      <w:r>
        <w:rPr>
          <w:rFonts w:hint="eastAsia" w:ascii="仿宋" w:hAnsi="仿宋" w:eastAsia="仿宋" w:cs="仿宋"/>
          <w:sz w:val="30"/>
          <w:szCs w:val="30"/>
        </w:rPr>
        <w:t>2026年，本部门无会议费预算，与上年保持一致。</w:t>
      </w:r>
    </w:p>
    <w:p w14:paraId="0F809CFC">
      <w:pPr>
        <w:ind w:left="0" w:leftChars="0" w:firstLine="639" w:firstLineChars="213"/>
        <w:rPr>
          <w:rFonts w:hint="eastAsia" w:ascii="仿宋" w:hAnsi="仿宋" w:eastAsia="仿宋" w:cs="仿宋"/>
          <w:sz w:val="30"/>
          <w:szCs w:val="30"/>
        </w:rPr>
      </w:pPr>
      <w:r>
        <w:rPr>
          <w:rFonts w:hint="eastAsia" w:ascii="仿宋" w:hAnsi="仿宋" w:eastAsia="仿宋" w:cs="仿宋"/>
          <w:sz w:val="30"/>
          <w:szCs w:val="30"/>
          <w:lang w:val="en-US" w:eastAsia="zh-CN"/>
        </w:rPr>
        <w:t>2.</w:t>
      </w:r>
      <w:r>
        <w:rPr>
          <w:rFonts w:hint="eastAsia" w:ascii="仿宋" w:hAnsi="仿宋" w:eastAsia="仿宋" w:cs="仿宋"/>
          <w:sz w:val="30"/>
          <w:szCs w:val="30"/>
        </w:rPr>
        <w:t>2026年，本部门培训费预算0.30万元，具体为广播电视监测技术培训，内容包括信号监测设备操作、节目内容监看标准等，预计人数10人，预算0.30万元。较上年新增培训费预算，主要为提升工作人员专业技能，适应广播电视监测工作新形势。</w:t>
      </w:r>
    </w:p>
    <w:p w14:paraId="0DA2DAD3">
      <w:pPr>
        <w:ind w:left="0" w:leftChars="0" w:firstLine="639" w:firstLineChars="213"/>
        <w:rPr>
          <w:rFonts w:hint="eastAsia" w:ascii="仿宋" w:hAnsi="仿宋" w:eastAsia="仿宋" w:cs="仿宋"/>
          <w:sz w:val="30"/>
          <w:szCs w:val="30"/>
        </w:rPr>
      </w:pPr>
      <w:r>
        <w:rPr>
          <w:rFonts w:hint="eastAsia" w:ascii="仿宋" w:hAnsi="仿宋" w:eastAsia="仿宋" w:cs="仿宋"/>
          <w:sz w:val="30"/>
          <w:szCs w:val="30"/>
          <w:lang w:val="en-US" w:eastAsia="zh-CN"/>
        </w:rPr>
        <w:t>3.</w:t>
      </w:r>
      <w:r>
        <w:rPr>
          <w:rFonts w:hint="eastAsia" w:ascii="仿宋" w:hAnsi="仿宋" w:eastAsia="仿宋" w:cs="仿宋"/>
          <w:sz w:val="30"/>
          <w:szCs w:val="30"/>
        </w:rPr>
        <w:t>2026年，本部门无举办节庆、晚会、论坛、赛事等相关预算，与上年保持一致。</w:t>
      </w:r>
    </w:p>
    <w:p w14:paraId="697C7F7C">
      <w:pPr>
        <w:ind w:left="0" w:leftChars="0" w:firstLine="639" w:firstLineChars="213"/>
        <w:rPr>
          <w:rFonts w:hint="eastAsia" w:ascii="黑体" w:hAnsi="黑体" w:eastAsia="黑体" w:cs="黑体"/>
          <w:sz w:val="30"/>
          <w:szCs w:val="30"/>
        </w:rPr>
      </w:pPr>
      <w:r>
        <w:rPr>
          <w:rFonts w:hint="eastAsia" w:ascii="黑体" w:hAnsi="黑体" w:eastAsia="黑体" w:cs="黑体"/>
          <w:sz w:val="30"/>
          <w:szCs w:val="30"/>
        </w:rPr>
        <w:t>七、专业名词解释</w:t>
      </w:r>
    </w:p>
    <w:p w14:paraId="47106AA6">
      <w:pPr>
        <w:ind w:left="0" w:leftChars="0" w:firstLine="639" w:firstLineChars="213"/>
        <w:rPr>
          <w:rFonts w:hint="eastAsia" w:ascii="仿宋" w:hAnsi="仿宋" w:eastAsia="仿宋" w:cs="仿宋"/>
          <w:sz w:val="30"/>
          <w:szCs w:val="30"/>
        </w:rPr>
      </w:pPr>
      <w:r>
        <w:rPr>
          <w:rFonts w:hint="eastAsia" w:ascii="楷体" w:hAnsi="楷体" w:eastAsia="楷体" w:cs="楷体"/>
          <w:sz w:val="30"/>
          <w:szCs w:val="30"/>
          <w:lang w:val="en-US" w:eastAsia="zh-CN"/>
        </w:rPr>
        <w:t>1.</w:t>
      </w:r>
      <w:r>
        <w:rPr>
          <w:rFonts w:hint="eastAsia" w:ascii="楷体" w:hAnsi="楷体" w:eastAsia="楷体" w:cs="楷体"/>
          <w:sz w:val="30"/>
          <w:szCs w:val="30"/>
        </w:rPr>
        <w:t>机关运行经费：</w:t>
      </w:r>
      <w:r>
        <w:rPr>
          <w:rFonts w:hint="eastAsia" w:ascii="仿宋" w:hAnsi="仿宋" w:eastAsia="仿宋" w:cs="仿宋"/>
          <w:sz w:val="30"/>
          <w:szCs w:val="30"/>
        </w:rPr>
        <w:t>为保障行政单位（包括参照公务员法管理的事业单位）运行，用一般公共预算拨款安排用于购买货物和服务的各项资金，包括办公及印刷费、邮电费、差旅费、会议费、福利费、日常维修费、办公用房水电费、办公用房物业管理费、公务用车运行维护费以及其他费用。</w:t>
      </w:r>
    </w:p>
    <w:p w14:paraId="7D19ADDD">
      <w:pPr>
        <w:ind w:left="0" w:leftChars="0" w:firstLine="639" w:firstLineChars="213"/>
        <w:rPr>
          <w:rFonts w:hint="eastAsia" w:ascii="仿宋" w:hAnsi="仿宋" w:eastAsia="仿宋" w:cs="仿宋"/>
          <w:sz w:val="30"/>
          <w:szCs w:val="30"/>
        </w:rPr>
      </w:pPr>
      <w:r>
        <w:rPr>
          <w:rFonts w:hint="eastAsia" w:ascii="楷体" w:hAnsi="楷体" w:eastAsia="楷体" w:cs="楷体"/>
          <w:sz w:val="30"/>
          <w:szCs w:val="30"/>
          <w:lang w:val="en-US" w:eastAsia="zh-CN"/>
        </w:rPr>
        <w:t>2.</w:t>
      </w:r>
      <w:r>
        <w:rPr>
          <w:rFonts w:hint="eastAsia" w:ascii="楷体" w:hAnsi="楷体" w:eastAsia="楷体" w:cs="楷体"/>
          <w:sz w:val="30"/>
          <w:szCs w:val="30"/>
        </w:rPr>
        <w:t>一般公共预算“三公”经费：</w:t>
      </w:r>
      <w:r>
        <w:rPr>
          <w:rFonts w:hint="eastAsia" w:ascii="仿宋" w:hAnsi="仿宋" w:eastAsia="仿宋" w:cs="仿宋"/>
          <w:sz w:val="30"/>
          <w:szCs w:val="30"/>
        </w:rPr>
        <w:t>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14:paraId="667FE901">
      <w:pPr>
        <w:ind w:left="0" w:leftChars="0" w:firstLine="639" w:firstLineChars="213"/>
        <w:rPr>
          <w:rFonts w:hint="eastAsia" w:ascii="仿宋" w:hAnsi="仿宋" w:eastAsia="仿宋" w:cs="仿宋"/>
          <w:sz w:val="30"/>
          <w:szCs w:val="30"/>
          <w:lang w:val="en-US" w:eastAsia="zh-CN"/>
        </w:rPr>
      </w:pPr>
    </w:p>
    <w:sectPr>
      <w:headerReference r:id="rId3" w:type="default"/>
      <w:footerReference r:id="rId4" w:type="default"/>
      <w:footerReference r:id="rId5" w:type="even"/>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moder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D85FE22-5C47-4114-A5D6-8A6A66CBEF8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楷体简体">
    <w:altName w:val="宋体"/>
    <w:panose1 w:val="02000000000000000000"/>
    <w:charset w:val="86"/>
    <w:family w:val="auto"/>
    <w:pitch w:val="default"/>
    <w:sig w:usb0="00000000" w:usb1="00000000" w:usb2="00000012" w:usb3="00000000" w:csb0="00040001" w:csb1="00000000"/>
    <w:embedRegular r:id="rId2" w:fontKey="{35696871-2756-4ED9-AF24-9446408176E9}"/>
  </w:font>
  <w:font w:name="方正小标宋简体">
    <w:panose1 w:val="02000000000000000000"/>
    <w:charset w:val="86"/>
    <w:family w:val="auto"/>
    <w:pitch w:val="default"/>
    <w:sig w:usb0="00000001" w:usb1="08000000" w:usb2="00000000" w:usb3="00000000" w:csb0="00040000" w:csb1="00000000"/>
    <w:embedRegular r:id="rId3" w:fontKey="{59463B23-379C-4861-94B5-411FAFED62C2}"/>
  </w:font>
  <w:font w:name="楷体_GB2312">
    <w:altName w:val="楷体"/>
    <w:panose1 w:val="02010609030101010101"/>
    <w:charset w:val="86"/>
    <w:family w:val="modern"/>
    <w:pitch w:val="default"/>
    <w:sig w:usb0="00000000" w:usb1="00000000" w:usb2="00000000" w:usb3="00000000" w:csb0="00040000" w:csb1="00000000"/>
    <w:embedRegular r:id="rId4" w:fontKey="{19DA7FA7-7C99-4C75-B8F7-DE321562EB6D}"/>
  </w:font>
  <w:font w:name="楷体">
    <w:panose1 w:val="02010609060101010101"/>
    <w:charset w:val="86"/>
    <w:family w:val="auto"/>
    <w:pitch w:val="default"/>
    <w:sig w:usb0="800002BF" w:usb1="38CF7CFA" w:usb2="00000016" w:usb3="00000000" w:csb0="00040001" w:csb1="00000000"/>
    <w:embedRegular r:id="rId5" w:fontKey="{95B1E617-C407-4D78-91AC-77B497B902CB}"/>
  </w:font>
  <w:font w:name="仿宋">
    <w:panose1 w:val="02010609060101010101"/>
    <w:charset w:val="86"/>
    <w:family w:val="auto"/>
    <w:pitch w:val="default"/>
    <w:sig w:usb0="800002BF" w:usb1="38CF7CFA" w:usb2="00000016" w:usb3="00000000" w:csb0="00040001" w:csb1="00000000"/>
    <w:embedRegular r:id="rId6" w:fontKey="{D4CC413F-138A-40FD-B14A-F17A81D47B8D}"/>
  </w:font>
  <w:font w:name="仿宋_GB2312">
    <w:altName w:val="仿宋"/>
    <w:panose1 w:val="02010609030101010101"/>
    <w:charset w:val="86"/>
    <w:family w:val="modern"/>
    <w:pitch w:val="default"/>
    <w:sig w:usb0="00000000" w:usb1="00000000" w:usb2="00000000" w:usb3="00000000" w:csb0="00040000" w:csb1="00000000"/>
    <w:embedRegular r:id="rId7" w:fontKey="{F8C07C7D-0B49-49B1-B457-6C59FE4A0691}"/>
  </w:font>
  <w:font w:name="WPSEMBED1">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340AD2">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A1F825">
    <w:pPr>
      <w:pStyle w:val="5"/>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26670" cy="131445"/>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6670" cy="131445"/>
                      </a:xfrm>
                      <a:prstGeom prst="rect">
                        <a:avLst/>
                      </a:prstGeom>
                      <a:noFill/>
                      <a:ln>
                        <a:noFill/>
                      </a:ln>
                    </wps:spPr>
                    <wps:txbx>
                      <w:txbxContent>
                        <w:p w14:paraId="4A072EFC">
                          <w:pPr>
                            <w:pStyle w:val="5"/>
                            <w:rPr>
                              <w:rStyle w:val="11"/>
                            </w:rPr>
                          </w:pPr>
                          <w:r>
                            <w:fldChar w:fldCharType="begin"/>
                          </w:r>
                          <w:r>
                            <w:rPr>
                              <w:rStyle w:val="11"/>
                            </w:rPr>
                            <w:instrText xml:space="preserve">PAGE  </w:instrText>
                          </w:r>
                          <w:r>
                            <w:fldChar w:fldCharType="separate"/>
                          </w:r>
                          <w:r>
                            <w:rPr>
                              <w:rStyle w:val="11"/>
                            </w:rPr>
                            <w:t>1</w:t>
                          </w:r>
                          <w:r>
                            <w:fldChar w:fldCharType="end"/>
                          </w:r>
                        </w:p>
                      </w:txbxContent>
                    </wps:txbx>
                    <wps:bodyPr wrap="none" lIns="0" tIns="0" rIns="0" bIns="0" upright="1">
                      <a:spAutoFit/>
                    </wps:bodyPr>
                  </wps:wsp>
                </a:graphicData>
              </a:graphic>
            </wp:anchor>
          </w:drawing>
        </mc:Choice>
        <mc:Fallback>
          <w:pict>
            <v:shape id="Text Box 1" o:spid="_x0000_s1026" o:spt="202" type="#_x0000_t202" style="position:absolute;left:0pt;margin-top:0pt;height:10.35pt;width:2.1pt;mso-position-horizontal:center;mso-position-horizontal-relative:margin;mso-wrap-distance-bottom:0pt;mso-wrap-distance-left:0pt;mso-wrap-distance-right:0pt;mso-wrap-distance-top:0pt;mso-wrap-style:none;z-index:251659264;mso-width-relative:page;mso-height-relative:page;" filled="f" stroked="f" coordsize="21600,21600" o:gfxdata="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CNR4T90AAAAAIBAAAPAAAAAAAAAAEAIAAAACIAAABkcnMvZG93bnJldi54bWxQSwECFAAUAAAA&#10;CACHTuJAa3zF770BAACVAwAADgAAAAAAAAABACAAAAAfAQAAZHJzL2Uyb0RvYy54bWxQSwUGAAAA&#10;AAYABgBZAQAATgUAAAAA&#10;">
              <v:fill on="f" focussize="0,0"/>
              <v:stroke on="f"/>
              <v:imagedata o:title=""/>
              <o:lock v:ext="edit" aspectratio="f"/>
              <v:textbox inset="0mm,0mm,0mm,0mm" style="mso-fit-shape-to-text:t;">
                <w:txbxContent>
                  <w:p w14:paraId="4A072EFC">
                    <w:pPr>
                      <w:pStyle w:val="5"/>
                      <w:rPr>
                        <w:rStyle w:val="11"/>
                      </w:rPr>
                    </w:pPr>
                    <w:r>
                      <w:fldChar w:fldCharType="begin"/>
                    </w:r>
                    <w:r>
                      <w:rPr>
                        <w:rStyle w:val="11"/>
                      </w:rPr>
                      <w:instrText xml:space="preserve">PAGE  </w:instrText>
                    </w:r>
                    <w:r>
                      <w:fldChar w:fldCharType="separate"/>
                    </w:r>
                    <w:r>
                      <w:rPr>
                        <w:rStyle w:val="11"/>
                      </w:rPr>
                      <w:t>1</w:t>
                    </w:r>
                    <w:r>
                      <w:fldChar w:fldCharType="end"/>
                    </w:r>
                  </w:p>
                </w:txbxContent>
              </v:textbox>
              <w10:wrap type="square"/>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858D22">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A7FA2B7"/>
    <w:multiLevelType w:val="singleLevel"/>
    <w:tmpl w:val="5A7FA2B7"/>
    <w:lvl w:ilvl="0" w:tentative="0">
      <w:start w:val="2"/>
      <w:numFmt w:val="chineseCounting"/>
      <w:suff w:val="nothing"/>
      <w:lvlText w:val="%1、"/>
      <w:lvlJc w:val="left"/>
    </w:lvl>
  </w:abstractNum>
  <w:abstractNum w:abstractNumId="1">
    <w:nsid w:val="5A7FA837"/>
    <w:multiLevelType w:val="singleLevel"/>
    <w:tmpl w:val="5A7FA837"/>
    <w:lvl w:ilvl="0" w:tentative="0">
      <w:start w:val="4"/>
      <w:numFmt w:val="chineseCounting"/>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c0NGEzMGUwNWJjMTc3MjYwM2EyOTY0MWE0ZmM0MzEifQ=="/>
  </w:docVars>
  <w:rsids>
    <w:rsidRoot w:val="004E6E3D"/>
    <w:rsid w:val="03023DA5"/>
    <w:rsid w:val="042228D2"/>
    <w:rsid w:val="04433323"/>
    <w:rsid w:val="04D632CC"/>
    <w:rsid w:val="05881A2C"/>
    <w:rsid w:val="05A425EB"/>
    <w:rsid w:val="07D74632"/>
    <w:rsid w:val="08466C90"/>
    <w:rsid w:val="089D4136"/>
    <w:rsid w:val="09E5774A"/>
    <w:rsid w:val="0DB66903"/>
    <w:rsid w:val="13CF3CE5"/>
    <w:rsid w:val="14671B45"/>
    <w:rsid w:val="1496682F"/>
    <w:rsid w:val="157C6B16"/>
    <w:rsid w:val="18250522"/>
    <w:rsid w:val="1A5051A5"/>
    <w:rsid w:val="1ED6141B"/>
    <w:rsid w:val="218527E0"/>
    <w:rsid w:val="250E7A8A"/>
    <w:rsid w:val="25CC1E72"/>
    <w:rsid w:val="268C786C"/>
    <w:rsid w:val="276F0967"/>
    <w:rsid w:val="28932515"/>
    <w:rsid w:val="2A0C345E"/>
    <w:rsid w:val="2E2477F7"/>
    <w:rsid w:val="2F830D35"/>
    <w:rsid w:val="31636116"/>
    <w:rsid w:val="32741650"/>
    <w:rsid w:val="35E702C8"/>
    <w:rsid w:val="39A141FC"/>
    <w:rsid w:val="3DAD604A"/>
    <w:rsid w:val="416B09D2"/>
    <w:rsid w:val="43A43CCA"/>
    <w:rsid w:val="45D61E36"/>
    <w:rsid w:val="4A67245D"/>
    <w:rsid w:val="506435A4"/>
    <w:rsid w:val="51077170"/>
    <w:rsid w:val="535836AB"/>
    <w:rsid w:val="556F46EC"/>
    <w:rsid w:val="55D67AAD"/>
    <w:rsid w:val="56CE5063"/>
    <w:rsid w:val="56FF5133"/>
    <w:rsid w:val="5AA4755C"/>
    <w:rsid w:val="5C04693A"/>
    <w:rsid w:val="5C5B50CB"/>
    <w:rsid w:val="5D7D47EF"/>
    <w:rsid w:val="601E4B2A"/>
    <w:rsid w:val="60E22426"/>
    <w:rsid w:val="620509C2"/>
    <w:rsid w:val="6361064F"/>
    <w:rsid w:val="642858BB"/>
    <w:rsid w:val="6A0478CB"/>
    <w:rsid w:val="6AB10152"/>
    <w:rsid w:val="6B260820"/>
    <w:rsid w:val="6BE62B36"/>
    <w:rsid w:val="72D775EE"/>
    <w:rsid w:val="755B51F0"/>
    <w:rsid w:val="79156D7B"/>
    <w:rsid w:val="79D6799A"/>
    <w:rsid w:val="7AFB76B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qFormat="1" w:uiPriority="99" w:semiHidden="0" w:name="HTML Acronym"/>
    <w:lsdException w:uiPriority="99" w:name="HTML Address"/>
    <w:lsdException w:qFormat="1" w:uiPriority="99" w:semiHidden="0" w:name="HTML Cite"/>
    <w:lsdException w:qFormat="1" w:uiPriority="99" w:semiHidden="0" w:name="HTML Code"/>
    <w:lsdException w:qFormat="1" w:uiPriority="99" w:semiHidden="0" w:name="HTML Definition"/>
    <w:lsdException w:uiPriority="99" w:name="HTML Keyboard"/>
    <w:lsdException w:uiPriority="99" w:name="HTML Preformatted"/>
    <w:lsdException w:uiPriority="99" w:name="HTML Sample"/>
    <w:lsdException w:uiPriority="99" w:name="HTML Typewriter"/>
    <w:lsdException w:qFormat="1" w:uiPriority="99" w:semiHidden="0"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semiHidden/>
    <w:unhideWhenUsed/>
    <w:qFormat/>
    <w:uiPriority w:val="9"/>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3">
    <w:name w:val="heading 4"/>
    <w:basedOn w:val="1"/>
    <w:next w:val="1"/>
    <w:semiHidden/>
    <w:unhideWhenUsed/>
    <w:qFormat/>
    <w:uiPriority w:val="9"/>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9">
    <w:name w:val="Default Paragraph Font"/>
    <w:qFormat/>
    <w:uiPriority w:val="0"/>
  </w:style>
  <w:style w:type="table" w:default="1" w:styleId="8">
    <w:name w:val="Normal Table"/>
    <w:unhideWhenUsed/>
    <w:qFormat/>
    <w:uiPriority w:val="99"/>
    <w:tblPr>
      <w:tblCellMar>
        <w:top w:w="0" w:type="dxa"/>
        <w:left w:w="108" w:type="dxa"/>
        <w:bottom w:w="0" w:type="dxa"/>
        <w:right w:w="108" w:type="dxa"/>
      </w:tblCellMar>
    </w:tblPr>
  </w:style>
  <w:style w:type="paragraph" w:styleId="4">
    <w:name w:val="Balloon Text"/>
    <w:basedOn w:val="1"/>
    <w:qFormat/>
    <w:uiPriority w:val="0"/>
    <w:rPr>
      <w:sz w:val="18"/>
      <w:szCs w:val="18"/>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widowControl/>
      <w:spacing w:before="100" w:beforeAutospacing="1" w:after="100" w:afterAutospacing="1"/>
      <w:jc w:val="left"/>
    </w:pPr>
    <w:rPr>
      <w:rFonts w:ascii="宋体" w:cs="宋体"/>
      <w:kern w:val="0"/>
      <w:sz w:val="24"/>
      <w:lang w:bidi="ar-SA"/>
    </w:rPr>
  </w:style>
  <w:style w:type="character" w:styleId="10">
    <w:name w:val="Strong"/>
    <w:qFormat/>
    <w:uiPriority w:val="0"/>
    <w:rPr>
      <w:b/>
      <w:bCs/>
    </w:rPr>
  </w:style>
  <w:style w:type="character" w:styleId="11">
    <w:name w:val="page number"/>
    <w:basedOn w:val="9"/>
    <w:qFormat/>
    <w:uiPriority w:val="0"/>
  </w:style>
  <w:style w:type="character" w:styleId="12">
    <w:name w:val="FollowedHyperlink"/>
    <w:basedOn w:val="9"/>
    <w:unhideWhenUsed/>
    <w:qFormat/>
    <w:uiPriority w:val="99"/>
    <w:rPr>
      <w:color w:val="333333"/>
      <w:u w:val="none"/>
    </w:rPr>
  </w:style>
  <w:style w:type="character" w:styleId="13">
    <w:name w:val="Emphasis"/>
    <w:basedOn w:val="9"/>
    <w:qFormat/>
    <w:uiPriority w:val="20"/>
  </w:style>
  <w:style w:type="character" w:styleId="14">
    <w:name w:val="HTML Definition"/>
    <w:basedOn w:val="9"/>
    <w:unhideWhenUsed/>
    <w:qFormat/>
    <w:uiPriority w:val="99"/>
  </w:style>
  <w:style w:type="character" w:styleId="15">
    <w:name w:val="HTML Acronym"/>
    <w:basedOn w:val="9"/>
    <w:unhideWhenUsed/>
    <w:qFormat/>
    <w:uiPriority w:val="99"/>
  </w:style>
  <w:style w:type="character" w:styleId="16">
    <w:name w:val="HTML Variable"/>
    <w:basedOn w:val="9"/>
    <w:unhideWhenUsed/>
    <w:qFormat/>
    <w:uiPriority w:val="99"/>
  </w:style>
  <w:style w:type="character" w:styleId="17">
    <w:name w:val="Hyperlink"/>
    <w:basedOn w:val="9"/>
    <w:unhideWhenUsed/>
    <w:qFormat/>
    <w:uiPriority w:val="99"/>
    <w:rPr>
      <w:color w:val="333333"/>
      <w:u w:val="none"/>
    </w:rPr>
  </w:style>
  <w:style w:type="character" w:styleId="18">
    <w:name w:val="HTML Code"/>
    <w:basedOn w:val="9"/>
    <w:unhideWhenUsed/>
    <w:qFormat/>
    <w:uiPriority w:val="99"/>
    <w:rPr>
      <w:rFonts w:ascii="Courier New" w:hAnsi="Courier New"/>
      <w:sz w:val="20"/>
    </w:rPr>
  </w:style>
  <w:style w:type="character" w:styleId="19">
    <w:name w:val="HTML Cite"/>
    <w:basedOn w:val="9"/>
    <w:unhideWhenUsed/>
    <w:qFormat/>
    <w:uiPriority w:val="99"/>
  </w:style>
  <w:style w:type="character" w:customStyle="1" w:styleId="20">
    <w:name w:val="hj-easyread-speakerprocesser-position-action-icon"/>
    <w:basedOn w:val="9"/>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微软中国</Company>
  <Pages>8</Pages>
  <Words>2650</Words>
  <Characters>2971</Characters>
  <Lines>0</Lines>
  <Paragraphs>0</Paragraphs>
  <TotalTime>26</TotalTime>
  <ScaleCrop>false</ScaleCrop>
  <LinksUpToDate>false</LinksUpToDate>
  <CharactersWithSpaces>2971</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2016-08-17T01:21:00Z</dcterms:created>
  <dc:creator>微软用户</dc:creator>
  <cp:lastModifiedBy>湘na土豆</cp:lastModifiedBy>
  <cp:lastPrinted>2022-01-21T06:49:00Z</cp:lastPrinted>
  <dcterms:modified xsi:type="dcterms:W3CDTF">2026-01-26T09:14:27Z</dcterms:modified>
  <dc:title>科学技术部2012年部门预算</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SaveFontToCloudKey">
    <vt:lpwstr>362188443_cloud</vt:lpwstr>
  </property>
  <property fmtid="{D5CDD505-2E9C-101B-9397-08002B2CF9AE}" pid="4" name="ICV">
    <vt:lpwstr>3425CCA648D8435187E4B4001940F173_13</vt:lpwstr>
  </property>
  <property fmtid="{D5CDD505-2E9C-101B-9397-08002B2CF9AE}" pid="5" name="KSOTemplateDocerSaveRecord">
    <vt:lpwstr>eyJoZGlkIjoiMzYyOGU3YTVlNjhiZjNiMTlhYjUzZTY1MTZhZDYxMjkiLCJ1c2VySWQiOiI3NTg1NzgyNDcifQ==</vt:lpwstr>
  </property>
</Properties>
</file>