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157" w:beforeLines="50" w:after="625" w:afterLines="200" w:line="560" w:lineRule="exact"/>
        <w:jc w:val="both"/>
        <w:textAlignment w:val="auto"/>
        <w:rPr>
          <w:rFonts w:hint="eastAsia" w:ascii="方正黑体简体" w:hAnsi="方正黑体简体" w:eastAsia="方正黑体简体" w:cs="方正黑体简体"/>
          <w:b w:val="0"/>
          <w:bCs w:val="0"/>
          <w:kern w:val="0"/>
          <w:sz w:val="32"/>
          <w:szCs w:val="32"/>
          <w:lang w:val="en-US" w:eastAsia="zh-CN" w:bidi="ar"/>
        </w:rPr>
      </w:pPr>
      <w:bookmarkStart w:id="0" w:name="_GoBack"/>
      <w:r>
        <w:rPr>
          <w:rFonts w:hint="eastAsia" w:ascii="方正黑体简体" w:hAnsi="方正黑体简体" w:eastAsia="方正黑体简体" w:cs="方正黑体简体"/>
          <w:b w:val="0"/>
          <w:bCs w:val="0"/>
          <w:kern w:val="0"/>
          <w:sz w:val="32"/>
          <w:szCs w:val="32"/>
          <w:lang w:val="en-US" w:eastAsia="zh-CN" w:bidi="ar"/>
        </w:rPr>
        <w:t>附件2</w:t>
      </w:r>
    </w:p>
    <w:p>
      <w:pPr>
        <w:keepNext w:val="0"/>
        <w:keepLines w:val="0"/>
        <w:pageBreakBefore w:val="0"/>
        <w:widowControl w:val="0"/>
        <w:suppressLineNumbers w:val="0"/>
        <w:kinsoku/>
        <w:wordWrap/>
        <w:overflowPunct/>
        <w:topLinePunct w:val="0"/>
        <w:autoSpaceDE/>
        <w:autoSpaceDN/>
        <w:bidi w:val="0"/>
        <w:adjustRightInd/>
        <w:snapToGrid/>
        <w:spacing w:line="680" w:lineRule="exact"/>
        <w:jc w:val="center"/>
        <w:textAlignment w:val="auto"/>
        <w:rPr>
          <w:rFonts w:hint="eastAsia" w:ascii="方正小标宋_GBK" w:hAnsi="方正小标宋_GBK" w:eastAsia="方正小标宋_GBK" w:cs="方正小标宋_GBK"/>
          <w:b w:val="0"/>
          <w:bCs w:val="0"/>
          <w:kern w:val="0"/>
          <w:sz w:val="44"/>
          <w:szCs w:val="44"/>
          <w:lang w:val="en-US" w:eastAsia="zh-CN" w:bidi="ar"/>
        </w:rPr>
      </w:pPr>
      <w:r>
        <w:rPr>
          <w:rFonts w:hint="eastAsia" w:ascii="方正小标宋_GBK" w:hAnsi="方正小标宋_GBK" w:eastAsia="方正小标宋_GBK" w:cs="方正小标宋_GBK"/>
          <w:b w:val="0"/>
          <w:bCs w:val="0"/>
          <w:kern w:val="0"/>
          <w:sz w:val="44"/>
          <w:szCs w:val="44"/>
          <w:lang w:val="en-US" w:eastAsia="zh-CN" w:bidi="ar"/>
        </w:rPr>
        <w:t>关于《怀化市革命文物保护利用若干规定</w:t>
      </w:r>
      <w:r>
        <w:rPr>
          <w:rFonts w:hint="eastAsia" w:ascii="方正小标宋_GBK" w:hAnsi="方正小标宋_GBK" w:eastAsia="方正小标宋_GBK" w:cs="方正小标宋_GBK"/>
          <w:sz w:val="44"/>
          <w:szCs w:val="44"/>
          <w:lang w:eastAsia="zh-CN"/>
        </w:rPr>
        <w:t>（征求意见稿）</w:t>
      </w:r>
      <w:r>
        <w:rPr>
          <w:rFonts w:hint="eastAsia" w:ascii="方正小标宋_GBK" w:hAnsi="方正小标宋_GBK" w:eastAsia="方正小标宋_GBK" w:cs="方正小标宋_GBK"/>
          <w:b w:val="0"/>
          <w:bCs w:val="0"/>
          <w:kern w:val="0"/>
          <w:sz w:val="44"/>
          <w:szCs w:val="44"/>
          <w:lang w:val="en-US" w:eastAsia="zh-CN" w:bidi="ar"/>
        </w:rPr>
        <w:t>》的起草说明</w:t>
      </w:r>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一、《规定》起草背景</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怀化是向警予、粟裕、滕代远等老一辈无产阶级革命家的故乡，也是通道转兵、红军长征、湘西会战、抗日战争胜利洽降、湘西剿匪等重大历史事件的发生地，拥有丰富的革命文物资源。在中宣部、财政部、文旅部、国家文物局四部门公布的《革命文物保护利用片区分县名单》中，怀化被纳入的县有8个，分别为沅陵、溆浦、辰溪、通道、会同、新晃、芷江与洪江市。近年来，我市各级政府及文物工作部门认真按照国家、省文物局关于加强对革命文物保护利用工作的系列要求，对全市辖区内相关革命文物资源及保护利用现状进行了普查和梳理，据统计，我市不可移动革命文物共169处，可移动革命文物4676件（套），登记备案革命类主题博物馆、纪念馆9所（中国人民抗日战争胜利受降纪念馆、飞虎队纪念馆、湖南抗日战争纪念馆、通道转兵纪念馆、向警予同志纪念馆、粟裕同志纪念馆、滕代远纪念馆、湘西剿匪史料陈列馆、龙潭抗日野战医院旧址陈列馆），充分展现了怀化丰厚的革命文化底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怀化市革命文物保护利用若干规定（征求意见稿）》已列入怀化市人大2024年地方性法规立法调研论证重要项目。为贯彻落实党中央、国务院重大决策部署，切实加大革命文物保护力度，促进革命文物合理适度利用，提高革命文物工作依法管理水平，市人民政府研究起草了《怀化市革命文物保护利用若干规定（征求意见稿）》。现将有关情况说明如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二、制定《规定》的必要性和可行性</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02" w:firstLineChars="200"/>
        <w:jc w:val="both"/>
        <w:textAlignment w:val="auto"/>
        <w:rPr>
          <w:rFonts w:hint="eastAsia" w:ascii="楷体" w:hAnsi="楷体" w:eastAsia="楷体" w:cs="楷体"/>
          <w:b/>
          <w:bCs/>
          <w:kern w:val="0"/>
          <w:sz w:val="30"/>
          <w:szCs w:val="30"/>
          <w:lang w:val="en-US" w:eastAsia="zh-CN" w:bidi="ar"/>
        </w:rPr>
      </w:pPr>
      <w:r>
        <w:rPr>
          <w:rFonts w:hint="eastAsia" w:ascii="楷体" w:hAnsi="楷体" w:eastAsia="楷体" w:cs="楷体"/>
          <w:b/>
          <w:bCs/>
          <w:kern w:val="0"/>
          <w:sz w:val="30"/>
          <w:szCs w:val="30"/>
          <w:lang w:val="en-US" w:eastAsia="zh-CN" w:bidi="ar"/>
        </w:rPr>
        <w:t>（一）制定《规定》的必要性</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1.贯彻落实党中央和习近平总书记关于革命文物保护利用重要战略部署要求。</w:t>
      </w:r>
      <w:r>
        <w:rPr>
          <w:rFonts w:hint="eastAsia" w:ascii="仿宋_GB2312" w:hAnsi="仿宋_GB2312" w:eastAsia="仿宋_GB2312" w:cs="仿宋_GB2312"/>
          <w:b w:val="0"/>
          <w:bCs w:val="0"/>
          <w:kern w:val="0"/>
          <w:sz w:val="32"/>
          <w:szCs w:val="32"/>
          <w:lang w:val="en-US" w:eastAsia="zh-CN" w:bidi="ar"/>
        </w:rPr>
        <w:t>党的十八大以来，以习近平同志为核心的党中央高度重视革命文物保护利用工作。习近平总书记指出，“加强革命文物保护利用，弘扬革命文化，传承红色基因，是全党全社会的共同责任”“各级党委和政府要把革命文物保护利用工作列入重要议事日程，加大工作力度，切实把革命文物保护好、管理好、运用好”。2018年中办国办印发《关于实施革命文物保护利用工程（2018-2022年）的意见》，明确指出鼓励各省、自治区、直辖市和设区的市制定革命文物保护地方性法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b w:val="0"/>
          <w:bCs w:val="0"/>
          <w:kern w:val="0"/>
          <w:sz w:val="30"/>
          <w:szCs w:val="30"/>
          <w:lang w:val="en-US" w:eastAsia="zh-CN" w:bidi="ar"/>
        </w:rPr>
      </w:pPr>
      <w:r>
        <w:rPr>
          <w:rFonts w:hint="eastAsia" w:ascii="仿宋_GB2312" w:hAnsi="仿宋_GB2312" w:eastAsia="仿宋_GB2312" w:cs="仿宋_GB2312"/>
          <w:b/>
          <w:bCs/>
          <w:kern w:val="0"/>
          <w:sz w:val="32"/>
          <w:szCs w:val="32"/>
          <w:lang w:val="en-US" w:eastAsia="zh-CN" w:bidi="ar"/>
        </w:rPr>
        <w:t>2.衔接上位法、细化怀化市革命文物保护利用工作需要。</w:t>
      </w:r>
      <w:r>
        <w:rPr>
          <w:rFonts w:hint="eastAsia" w:ascii="仿宋_GB2312" w:hAnsi="仿宋_GB2312" w:eastAsia="仿宋_GB2312" w:cs="仿宋_GB2312"/>
          <w:b w:val="0"/>
          <w:bCs w:val="0"/>
          <w:kern w:val="0"/>
          <w:sz w:val="32"/>
          <w:szCs w:val="32"/>
          <w:lang w:val="en-US" w:eastAsia="zh-CN" w:bidi="ar"/>
        </w:rPr>
        <w:t>目前，与革命文物保护利用密切相关的现行上位法、相关政策文件国家层面有《中华人民共和国文物保护法》《中华人民共和国文物保护法实施条例》等，有《关于加强文物保护利用改革的若干意见》《关于实施革命文物保护利用工程（2018-2022）的意见》《关于充分运用革命文物资源加强新时代高校思想政治工作的意见》《关于充分运用革命文物资源铸牢中华民族共同体意识的意见》和《关于加强新时代革命文物工作的通知》《革命文物主题陈列展览导则（试行）》《革命文物保护利用片区工作规划编制要求》《革命文物保护利用“十四五”专项规划》等；省级层面有《湖南省文物保护条例》《关于加强文物保护利用改革的实施意见》《湖南省红色资源保护和利用条例》《关于加强全省文物保护利用工作的意见》《湖南省历史文化和文物保护国土空间专项规划》等，这些法律、法规、规章和政策文件，可保证立法有法可依，确保立法的合法性。革命文物和红色资源相互交织、密不可分，制定《怀化市革命文物保护利用若干规定》是完善我市革命文物保护利用和衔接《湖南省红色资源保护和利用条例》的需要。2021年，湖南省人民代表大会常务委员会出台了《湖南省红色资源保护和利用条例》，为我市制定革命文物保护利用规定提供了直接的参考依据。在革命文物保护利用过程中，发现上位法存在制度抽象或缺失问题，需要我市给予细化和补充。</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3.解决怀化市革命文物保护面临的系列问题的需要。</w:t>
      </w:r>
      <w:r>
        <w:rPr>
          <w:rFonts w:hint="eastAsia" w:ascii="仿宋_GB2312" w:hAnsi="仿宋_GB2312" w:eastAsia="仿宋_GB2312" w:cs="仿宋_GB2312"/>
          <w:b w:val="0"/>
          <w:bCs w:val="0"/>
          <w:kern w:val="0"/>
          <w:sz w:val="32"/>
          <w:szCs w:val="32"/>
          <w:lang w:val="en-US" w:eastAsia="zh-CN" w:bidi="ar"/>
        </w:rPr>
        <w:t>近年来，市、县两级人民政府文物行政主管部门及其有关部门积极推进革命文物保护工作，效果明显，成绩显著。但革命文物保护方面还存在一些不容忽视的问题：一是革命文物保护利用认识有待提升；二是革命文物保护利用法律体系有待完善；三是革命文物保护现状亟待改善；四是革命文物利用渠道有待拓宽；五是经费保障和管理力量有待加强；六是多头管理协调难。以上实践中的突出问题亟需立法给予回应。</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02" w:firstLineChars="200"/>
        <w:jc w:val="both"/>
        <w:textAlignment w:val="auto"/>
        <w:rPr>
          <w:rFonts w:hint="eastAsia" w:ascii="楷体" w:hAnsi="楷体" w:eastAsia="楷体" w:cs="楷体"/>
          <w:b/>
          <w:bCs/>
          <w:kern w:val="0"/>
          <w:sz w:val="30"/>
          <w:szCs w:val="30"/>
          <w:lang w:val="en-US" w:eastAsia="zh-CN" w:bidi="ar"/>
        </w:rPr>
      </w:pPr>
      <w:r>
        <w:rPr>
          <w:rFonts w:hint="eastAsia" w:ascii="楷体" w:hAnsi="楷体" w:eastAsia="楷体" w:cs="楷体"/>
          <w:b/>
          <w:bCs/>
          <w:kern w:val="0"/>
          <w:sz w:val="30"/>
          <w:szCs w:val="30"/>
          <w:lang w:val="en-US" w:eastAsia="zh-CN" w:bidi="ar"/>
        </w:rPr>
        <w:t>（二）制定《规定》的可行性</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1.怀化市革命文物数量与分布情况明确。</w:t>
      </w:r>
      <w:r>
        <w:rPr>
          <w:rFonts w:hint="eastAsia" w:ascii="仿宋_GB2312" w:hAnsi="仿宋_GB2312" w:eastAsia="仿宋_GB2312" w:cs="仿宋_GB2312"/>
          <w:b w:val="0"/>
          <w:bCs w:val="0"/>
          <w:kern w:val="0"/>
          <w:sz w:val="32"/>
          <w:szCs w:val="32"/>
          <w:lang w:val="en-US" w:eastAsia="zh-CN" w:bidi="ar"/>
        </w:rPr>
        <w:t>近年来，我市各级文物、党史工作部门按照国家、省关于加强对革命文物保护利用工作的系列要求，在全市范围对辖区内相关革命文物资源及保护利用现状进行了普查和梳理，革命文物底子已基本摸清，为精准定位保护对象、明确保护等级和制定针对性措施，拓展利用领域、提升利用效益和加强区域合作，奠定了革命文物保护利用立法的坚实基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2.社会公众的大力支持与参与。</w:t>
      </w:r>
      <w:r>
        <w:rPr>
          <w:rFonts w:hint="eastAsia" w:ascii="仿宋_GB2312" w:hAnsi="仿宋_GB2312" w:eastAsia="仿宋_GB2312" w:cs="仿宋_GB2312"/>
          <w:b w:val="0"/>
          <w:bCs w:val="0"/>
          <w:kern w:val="0"/>
          <w:sz w:val="32"/>
          <w:szCs w:val="32"/>
          <w:lang w:val="en-US" w:eastAsia="zh-CN" w:bidi="ar"/>
        </w:rPr>
        <w:t>怀化作为革命老区，社会公众对于革命文物保护利用的参与热情和文化自觉不断增强，群众通过参加宣传活动和志愿服务等多种形式，加深了对革命历史文化的了解和认同，形成了传承红色基因与弘扬革命精神的普遍力量。同时，红色旅游等产业的发展带动，切实促进了群众就业和增收，为革命文物保护利用奠定了良好的群众基础，形成了全社会共同保护革命文物的良好氛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3.成熟的地方实践与经验借鉴。</w:t>
      </w:r>
      <w:r>
        <w:rPr>
          <w:rFonts w:hint="eastAsia" w:ascii="仿宋_GB2312" w:hAnsi="仿宋_GB2312" w:eastAsia="仿宋_GB2312" w:cs="仿宋_GB2312"/>
          <w:b w:val="0"/>
          <w:bCs w:val="0"/>
          <w:kern w:val="0"/>
          <w:sz w:val="32"/>
          <w:szCs w:val="32"/>
          <w:lang w:val="en-US" w:eastAsia="zh-CN" w:bidi="ar"/>
        </w:rPr>
        <w:t>怀化市在制定相关地方性法规方面有一定的实践和经验积累，《怀化市第六届人民代表大会常务委员会立法规划（2022年—2026年）》中明确提出了《怀化市革命文物保护条例》作为立法项目之一，这显示了怀化市在革命文物保护利用立法方面的决心和行动。同时，全国有很多地市也已颁布或正在出台关于革命文物保护利用的地方性法规，如江西《吉安市红色文化遗存保护条例》、福建《宁德市红色文化遗存保护条例》、陕西《延安革命旧址保护条例》、浙江《丽水市革命遗址保护条例》等已经通过实施。从立法调研、起草、审议、修改到通过的立法实践，可以为我市革命文物保护利用立法工作提供宝贵经验和有力借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三、《规定（征求意见稿）》的主要内容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《规定（征求意见稿）》共十条，主要内容包括：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第一条“革命文物定义界定”。明确革命文物范围的时间跨度，突出怀化本地特色革命文物类型，尤其是中国特色社会主义新时代以来彰显革命精神、继承革命文化的实物遗存与中国共产党领导的相关重大事件、重要会议、重要人物和伟大建党精神等有关文物，为后续革命文物保护利用工作确定范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第二条“非国有革命文物保护”。明确市、县（市、区）人民政府非国有革命文物的保护职责，细化保护责任人无力修缮非国有革命文物时的多种保护方式，确保非国有革命文物得到妥善保护。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第三条“红色教育”。推动中小学、高校利用革命文物开展爱国主义等教育活动并融入教学实践。鼓励博物馆、纪念馆等单位建立共建共享机制与协同研究平台，促进红色文化在教育领域深入传播与研究合作。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第四条“文旅融合”。明确市、县（市、区）人民政府依托本土革命文物资源打造“三福怀化”“一粒种子·改变世界”特色红色旅游品牌，利用网络直播等推广形象，促进革命文物与旅游产业深度融合，提升怀化文化旅游影响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第五条“乡村振兴”。明确市、县（市、区）政府及主管部门依怀化革命文物资源分布，融合革命文物保护与特色乡镇、传统村落建设，促进革命文物保护与乡村振兴协同发展。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第六条“市场机制”。鼓励市场主体参与革命文物合理利用，通过多种出资合作方式开展文化创意等多元活动，探索创新革命文物合理利用模式，挖掘怀化革命文物的多元价值，使怀化市革命文物真正“活起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第七条“人才培养”。创设怀化人才培养机制，规定市、县（市、区）人民政府革命文物保护利用管理机构和专业队伍建设责任，鼓励文化和博物馆事业单位引进人才从事文物活化利用、文物价值发掘等工作。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kern w:val="0"/>
          <w:sz w:val="30"/>
          <w:szCs w:val="30"/>
          <w:lang w:val="en-US" w:eastAsia="zh-CN" w:bidi="ar"/>
        </w:rPr>
      </w:pPr>
      <w:r>
        <w:rPr>
          <w:rFonts w:hint="eastAsia" w:ascii="仿宋_GB2312" w:hAnsi="仿宋_GB2312" w:eastAsia="仿宋_GB2312" w:cs="仿宋_GB2312"/>
          <w:b w:val="0"/>
          <w:bCs w:val="0"/>
          <w:kern w:val="0"/>
          <w:sz w:val="32"/>
          <w:szCs w:val="32"/>
          <w:lang w:val="en-US" w:eastAsia="zh-CN" w:bidi="ar"/>
        </w:rPr>
        <w:t>第八条“革命文物宣传日”。为纪念1934年12月12日中央红军“通道转兵”，实现红军长征伟大转折。明确每年12月12日为怀化市革命文物宣传日，彰显中国革命福地的怀化形象。</w:t>
      </w:r>
      <w:r>
        <w:rPr>
          <w:rFonts w:hint="eastAsia" w:ascii="仿宋_GB2312" w:hAnsi="仿宋_GB2312" w:eastAsia="仿宋_GB2312" w:cs="仿宋_GB2312"/>
          <w:b w:val="0"/>
          <w:bCs w:val="0"/>
          <w:kern w:val="0"/>
          <w:sz w:val="32"/>
          <w:szCs w:val="32"/>
          <w:lang w:val="en-US" w:eastAsia="zh-CN" w:bidi="ar"/>
        </w:rPr>
        <w:br w:type="textWrapping"/>
      </w:r>
      <w:r>
        <w:rPr>
          <w:rFonts w:hint="eastAsia" w:ascii="仿宋_GB2312" w:hAnsi="仿宋_GB2312" w:eastAsia="仿宋_GB2312" w:cs="仿宋_GB2312"/>
          <w:b w:val="0"/>
          <w:bCs w:val="0"/>
          <w:kern w:val="0"/>
          <w:sz w:val="32"/>
          <w:szCs w:val="32"/>
          <w:lang w:val="en-US" w:eastAsia="zh-CN" w:bidi="ar"/>
        </w:rPr>
        <w:t xml:space="preserve">    第九条“举报奖励机制”。本条规定公民、法人和其他组织有权对损害革命文物行为进行举报，明确文物行政主管部门举报处理职责，细化举报的程序和奖励，并就举报应提供的材料等内容作了规定。</w:t>
      </w:r>
      <w:r>
        <w:rPr>
          <w:rFonts w:hint="eastAsia" w:ascii="仿宋_GB2312" w:hAnsi="仿宋_GB2312" w:eastAsia="仿宋_GB2312" w:cs="仿宋_GB2312"/>
          <w:b w:val="0"/>
          <w:bCs w:val="0"/>
          <w:kern w:val="0"/>
          <w:sz w:val="32"/>
          <w:szCs w:val="32"/>
          <w:lang w:val="en-US" w:eastAsia="zh-CN" w:bidi="ar"/>
        </w:rPr>
        <w:br w:type="textWrapping"/>
      </w:r>
      <w:r>
        <w:rPr>
          <w:rFonts w:hint="eastAsia" w:ascii="仿宋_GB2312" w:hAnsi="仿宋_GB2312" w:eastAsia="仿宋_GB2312" w:cs="仿宋_GB2312"/>
          <w:b w:val="0"/>
          <w:bCs w:val="0"/>
          <w:kern w:val="0"/>
          <w:sz w:val="32"/>
          <w:szCs w:val="32"/>
          <w:lang w:val="en-US" w:eastAsia="zh-CN" w:bidi="ar"/>
        </w:rPr>
        <w:t xml:space="preserve">    第十条“实施时间”。本条规定我市革命文物保护利用若干规定的施行时间条款。</w:t>
      </w:r>
      <w:r>
        <w:rPr>
          <w:rFonts w:hint="eastAsia" w:ascii="仿宋_GB2312" w:hAnsi="仿宋_GB2312" w:eastAsia="仿宋_GB2312" w:cs="仿宋_GB2312"/>
          <w:b w:val="0"/>
          <w:bCs w:val="0"/>
          <w:kern w:val="0"/>
          <w:sz w:val="32"/>
          <w:szCs w:val="32"/>
          <w:lang w:val="en-US" w:eastAsia="zh-CN" w:bidi="ar"/>
        </w:rPr>
        <w:br w:type="textWrapp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4"/>
          <w:szCs w:val="24"/>
          <w:lang w:val="en-US" w:eastAsia="zh-CN" w:bidi="ar"/>
        </w:rPr>
      </w:pPr>
    </w:p>
    <w:p/>
    <w:sectPr>
      <w:footerReference r:id="rId3" w:type="default"/>
      <w:pgSz w:w="11906" w:h="16838"/>
      <w:pgMar w:top="1440" w:right="1800" w:bottom="1440" w:left="1800"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6DA563-C153-43EE-8CB7-C3109760E6F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D39C4EA-9D17-4777-A05A-5992EAB94F5C}"/>
  </w:font>
  <w:font w:name="??">
    <w:altName w:val="DejaVu Math TeX Gyre"/>
    <w:panose1 w:val="00000000000000000000"/>
    <w:charset w:val="00"/>
    <w:family w:val="roman"/>
    <w:pitch w:val="default"/>
    <w:sig w:usb0="00000000" w:usb1="00000000" w:usb2="00000000" w:usb3="00000000" w:csb0="00000001" w:csb1="00000000"/>
  </w:font>
  <w:font w:name="方正黑体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D8745756-3DA4-45BD-BDD1-BFE0BA00DA16}"/>
  </w:font>
  <w:font w:name="楷体">
    <w:panose1 w:val="02010609060101010101"/>
    <w:charset w:val="86"/>
    <w:family w:val="auto"/>
    <w:pitch w:val="default"/>
    <w:sig w:usb0="800002BF" w:usb1="38CF7CFA" w:usb2="00000016" w:usb3="00000000" w:csb0="00040001" w:csb1="00000000"/>
    <w:embedRegular r:id="rId4" w:fontKey="{A6673A03-8B66-49AD-836C-4EB063F379DC}"/>
  </w:font>
  <w:font w:name="方正仿宋_GB2312">
    <w:panose1 w:val="02000000000000000000"/>
    <w:charset w:val="86"/>
    <w:family w:val="auto"/>
    <w:pitch w:val="default"/>
    <w:sig w:usb0="A00002BF" w:usb1="184F6CFA" w:usb2="00000012" w:usb3="00000000" w:csb0="00040001" w:csb1="00000000"/>
    <w:embedRegular r:id="rId5" w:fontKey="{E0A96E3F-D930-4340-A4F7-29A041E42DD1}"/>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NmU4ZjcyNzg5MWMxZTZiMTAwNWJhN2Q4YjhlMWEifQ=="/>
  </w:docVars>
  <w:rsids>
    <w:rsidRoot w:val="0C703BD7"/>
    <w:rsid w:val="0C703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ind w:left="200" w:leftChars="200" w:firstLine="200" w:firstLineChars="200"/>
    </w:pPr>
    <w:rPr>
      <w:kern w:val="0"/>
      <w:sz w:val="21"/>
    </w:rPr>
  </w:style>
  <w:style w:type="paragraph" w:styleId="3">
    <w:name w:val="Body Text Indent"/>
    <w:basedOn w:val="1"/>
    <w:qFormat/>
    <w:uiPriority w:val="0"/>
    <w:pPr>
      <w:spacing w:line="200" w:lineRule="exact"/>
      <w:ind w:firstLine="301"/>
    </w:pPr>
    <w:rPr>
      <w:rFonts w:ascii="??" w:hAnsi="??"/>
      <w:spacing w:val="-4"/>
      <w:sz w:val="18"/>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2024-11-21T04:04:00Z</dcterms:created>
  <dc:creator>香香</dc:creator>
  <cp:lastModifiedBy>香香</cp:lastModifiedBy>
  <dcterms:modified xsi:type="dcterms:W3CDTF">2024-11-21T04:06:20Z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34A7EA010E944897AB1D35464247F93B_11</vt:lpwstr>
  </property>
</Properties>
</file>