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nts/font6.odttf" ContentType="application/vnd.openxmlformats-officedocument.obfuscatedFont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D0A2066">
      <w:pPr>
        <w:pStyle w:val="6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80" w:lineRule="exact"/>
        <w:ind w:left="0" w:right="0" w:firstLine="0"/>
        <w:jc w:val="both"/>
        <w:textAlignment w:val="auto"/>
        <w:rPr>
          <w:rFonts w:hint="default" w:ascii="方正小标宋_GBK" w:hAnsi="方正小标宋_GBK" w:eastAsia="方正小标宋_GBK" w:cs="方正小标宋_GBK"/>
          <w:i w:val="0"/>
          <w:iCs w:val="0"/>
          <w:caps w:val="0"/>
          <w:color w:val="000000"/>
          <w:spacing w:val="0"/>
          <w:sz w:val="24"/>
          <w:szCs w:val="24"/>
          <w:shd w:val="clear" w:fill="FFFFFF"/>
          <w:lang w:val="en-US" w:eastAsia="zh-CN"/>
        </w:rPr>
      </w:pPr>
      <w:r>
        <w:rPr>
          <w:rFonts w:hint="default" w:ascii="方正小标宋_GBK" w:hAnsi="方正小标宋_GBK" w:eastAsia="方正小标宋_GBK" w:cs="方正小标宋_GBK"/>
          <w:i w:val="0"/>
          <w:iCs w:val="0"/>
          <w:caps w:val="0"/>
          <w:color w:val="000000"/>
          <w:spacing w:val="0"/>
          <w:sz w:val="24"/>
          <w:szCs w:val="24"/>
          <w:shd w:val="clear" w:fill="FFFFFF"/>
          <w:lang w:val="en-US" w:eastAsia="zh-CN"/>
        </w:rPr>
        <w:t>附件2</w:t>
      </w:r>
    </w:p>
    <w:p w14:paraId="7F4537C1">
      <w:pPr>
        <w:keepNext w:val="0"/>
        <w:keepLines w:val="0"/>
        <w:pageBreakBefore w:val="0"/>
        <w:widowControl/>
        <w:tabs>
          <w:tab w:val="left" w:pos="2555"/>
          <w:tab w:val="left" w:pos="3611"/>
          <w:tab w:val="center" w:pos="4365"/>
          <w:tab w:val="left" w:pos="4791"/>
          <w:tab w:val="left" w:pos="5951"/>
          <w:tab w:val="left" w:pos="7071"/>
          <w:tab w:val="left" w:pos="8191"/>
          <w:tab w:val="left" w:pos="9311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left="91"/>
        <w:jc w:val="left"/>
        <w:textAlignment w:val="auto"/>
        <w:rPr>
          <w:rFonts w:hint="eastAsia" w:ascii="方正小标宋简体" w:hAnsi="方正小标宋简体" w:eastAsia="方正小标宋简体" w:cs="方正小标宋简体"/>
          <w:color w:val="000000"/>
          <w:kern w:val="0"/>
          <w:sz w:val="36"/>
          <w:szCs w:val="36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color w:val="000000"/>
          <w:kern w:val="0"/>
          <w:sz w:val="36"/>
          <w:szCs w:val="36"/>
          <w:lang w:val="en-US" w:eastAsia="zh-CN"/>
        </w:rPr>
        <w:tab/>
      </w:r>
      <w:r>
        <w:rPr>
          <w:rFonts w:hint="eastAsia" w:ascii="方正小标宋简体" w:hAnsi="方正小标宋简体" w:eastAsia="方正小标宋简体" w:cs="方正小标宋简体"/>
          <w:color w:val="000000"/>
          <w:kern w:val="0"/>
          <w:sz w:val="36"/>
          <w:szCs w:val="36"/>
          <w:lang w:val="en-US" w:eastAsia="zh-CN"/>
        </w:rPr>
        <w:t>部门整体支出绩效自评表</w:t>
      </w:r>
    </w:p>
    <w:tbl>
      <w:tblPr>
        <w:tblStyle w:val="8"/>
        <w:tblW w:w="9262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81"/>
        <w:gridCol w:w="1056"/>
        <w:gridCol w:w="1015"/>
        <w:gridCol w:w="969"/>
        <w:gridCol w:w="83"/>
        <w:gridCol w:w="1136"/>
        <w:gridCol w:w="1085"/>
        <w:gridCol w:w="936"/>
        <w:gridCol w:w="816"/>
        <w:gridCol w:w="1085"/>
      </w:tblGrid>
      <w:tr w14:paraId="688DC91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" w:hRule="atLeast"/>
          <w:jc w:val="center"/>
        </w:trPr>
        <w:tc>
          <w:tcPr>
            <w:tcW w:w="1081" w:type="dxa"/>
            <w:noWrap w:val="0"/>
            <w:vAlign w:val="center"/>
          </w:tcPr>
          <w:p w14:paraId="657D50B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预算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eastAsia="zh-CN"/>
              </w:rPr>
              <w:t>部门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名称</w:t>
            </w:r>
          </w:p>
        </w:tc>
        <w:tc>
          <w:tcPr>
            <w:tcW w:w="8181" w:type="dxa"/>
            <w:gridSpan w:val="9"/>
            <w:noWrap w:val="0"/>
            <w:vAlign w:val="center"/>
          </w:tcPr>
          <w:p w14:paraId="6CCEFD6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  <w:t>怀化市卫生计生综合监督执法局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　</w:t>
            </w:r>
          </w:p>
        </w:tc>
      </w:tr>
      <w:tr w14:paraId="55EA8EE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5" w:hRule="atLeast"/>
          <w:jc w:val="center"/>
        </w:trPr>
        <w:tc>
          <w:tcPr>
            <w:tcW w:w="1081" w:type="dxa"/>
            <w:vMerge w:val="restart"/>
            <w:noWrap w:val="0"/>
            <w:vAlign w:val="center"/>
          </w:tcPr>
          <w:p w14:paraId="0C34CB5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年度预</w:t>
            </w:r>
          </w:p>
          <w:p w14:paraId="0195787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算申请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br w:type="textWrapping"/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（万元）</w:t>
            </w:r>
          </w:p>
        </w:tc>
        <w:tc>
          <w:tcPr>
            <w:tcW w:w="2071" w:type="dxa"/>
            <w:gridSpan w:val="2"/>
            <w:noWrap w:val="0"/>
            <w:vAlign w:val="center"/>
          </w:tcPr>
          <w:p w14:paraId="5F62FEC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" w:hAnsi="仿宋" w:eastAsia="仿宋" w:cs="仿宋"/>
                <w:sz w:val="20"/>
                <w:szCs w:val="20"/>
              </w:rPr>
            </w:pPr>
          </w:p>
        </w:tc>
        <w:tc>
          <w:tcPr>
            <w:tcW w:w="969" w:type="dxa"/>
            <w:noWrap w:val="0"/>
            <w:vAlign w:val="center"/>
          </w:tcPr>
          <w:p w14:paraId="1636415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" w:hAnsi="仿宋" w:eastAsia="仿宋" w:cs="仿宋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sz w:val="20"/>
                <w:szCs w:val="20"/>
              </w:rPr>
              <w:t>年初</w:t>
            </w:r>
          </w:p>
          <w:p w14:paraId="39F893E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" w:hAnsi="仿宋" w:eastAsia="仿宋" w:cs="仿宋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sz w:val="20"/>
                <w:szCs w:val="20"/>
              </w:rPr>
              <w:t>预算数</w:t>
            </w:r>
          </w:p>
        </w:tc>
        <w:tc>
          <w:tcPr>
            <w:tcW w:w="1219" w:type="dxa"/>
            <w:gridSpan w:val="2"/>
            <w:noWrap w:val="0"/>
            <w:vAlign w:val="center"/>
          </w:tcPr>
          <w:p w14:paraId="3683C2A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" w:hAnsi="仿宋" w:eastAsia="仿宋" w:cs="仿宋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sz w:val="20"/>
                <w:szCs w:val="20"/>
              </w:rPr>
              <w:t>全年预算数</w:t>
            </w:r>
          </w:p>
        </w:tc>
        <w:tc>
          <w:tcPr>
            <w:tcW w:w="1085" w:type="dxa"/>
            <w:noWrap w:val="0"/>
            <w:vAlign w:val="center"/>
          </w:tcPr>
          <w:p w14:paraId="45A6169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" w:hAnsi="仿宋" w:eastAsia="仿宋" w:cs="仿宋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sz w:val="20"/>
                <w:szCs w:val="20"/>
              </w:rPr>
              <w:t>全年</w:t>
            </w:r>
          </w:p>
          <w:p w14:paraId="3BA5BE0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" w:hAnsi="仿宋" w:eastAsia="仿宋" w:cs="仿宋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sz w:val="20"/>
                <w:szCs w:val="20"/>
              </w:rPr>
              <w:t>执行数</w:t>
            </w:r>
          </w:p>
        </w:tc>
        <w:tc>
          <w:tcPr>
            <w:tcW w:w="936" w:type="dxa"/>
            <w:noWrap w:val="0"/>
            <w:vAlign w:val="center"/>
          </w:tcPr>
          <w:p w14:paraId="2D240D7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" w:hAnsi="仿宋" w:eastAsia="仿宋" w:cs="仿宋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sz w:val="20"/>
                <w:szCs w:val="20"/>
              </w:rPr>
              <w:t>分值</w:t>
            </w:r>
          </w:p>
        </w:tc>
        <w:tc>
          <w:tcPr>
            <w:tcW w:w="816" w:type="dxa"/>
            <w:noWrap w:val="0"/>
            <w:vAlign w:val="center"/>
          </w:tcPr>
          <w:p w14:paraId="3B9E90F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" w:hAnsi="仿宋" w:eastAsia="仿宋" w:cs="仿宋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sz w:val="20"/>
                <w:szCs w:val="20"/>
              </w:rPr>
              <w:t>执行率</w:t>
            </w:r>
          </w:p>
        </w:tc>
        <w:tc>
          <w:tcPr>
            <w:tcW w:w="1085" w:type="dxa"/>
            <w:noWrap w:val="0"/>
            <w:vAlign w:val="center"/>
          </w:tcPr>
          <w:p w14:paraId="2F0348B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" w:hAnsi="仿宋" w:eastAsia="仿宋" w:cs="仿宋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sz w:val="20"/>
                <w:szCs w:val="20"/>
              </w:rPr>
              <w:t>得分</w:t>
            </w:r>
          </w:p>
        </w:tc>
      </w:tr>
      <w:tr w14:paraId="293BD5E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1081" w:type="dxa"/>
            <w:vMerge w:val="continue"/>
            <w:noWrap w:val="0"/>
            <w:vAlign w:val="center"/>
          </w:tcPr>
          <w:p w14:paraId="5751DD5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071" w:type="dxa"/>
            <w:gridSpan w:val="2"/>
            <w:noWrap w:val="0"/>
            <w:vAlign w:val="center"/>
          </w:tcPr>
          <w:p w14:paraId="547B1B3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" w:hAnsi="仿宋" w:eastAsia="仿宋" w:cs="仿宋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年度资金总额</w:t>
            </w:r>
          </w:p>
        </w:tc>
        <w:tc>
          <w:tcPr>
            <w:tcW w:w="969" w:type="dxa"/>
            <w:shd w:val="clear" w:color="auto" w:fill="auto"/>
            <w:noWrap w:val="0"/>
            <w:vAlign w:val="center"/>
          </w:tcPr>
          <w:p w14:paraId="6292903B">
            <w:pPr>
              <w:spacing w:line="240" w:lineRule="exact"/>
              <w:jc w:val="center"/>
              <w:rPr>
                <w:rFonts w:hint="eastAsia" w:ascii="仿宋" w:hAnsi="仿宋" w:eastAsia="仿宋" w:cs="仿宋"/>
                <w:spacing w:val="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pacing w:val="0"/>
                <w:sz w:val="20"/>
                <w:szCs w:val="20"/>
              </w:rPr>
              <w:t>833.71</w:t>
            </w:r>
          </w:p>
        </w:tc>
        <w:tc>
          <w:tcPr>
            <w:tcW w:w="1219" w:type="dxa"/>
            <w:gridSpan w:val="2"/>
            <w:shd w:val="clear" w:color="auto" w:fill="auto"/>
            <w:noWrap w:val="0"/>
            <w:vAlign w:val="center"/>
          </w:tcPr>
          <w:p w14:paraId="0F0B7C52">
            <w:pPr>
              <w:spacing w:line="240" w:lineRule="exact"/>
              <w:jc w:val="center"/>
              <w:rPr>
                <w:rFonts w:hint="eastAsia" w:ascii="仿宋" w:hAnsi="仿宋" w:eastAsia="仿宋" w:cs="仿宋"/>
                <w:spacing w:val="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pacing w:val="0"/>
                <w:sz w:val="20"/>
                <w:szCs w:val="20"/>
              </w:rPr>
              <w:t>959.75</w:t>
            </w:r>
          </w:p>
        </w:tc>
        <w:tc>
          <w:tcPr>
            <w:tcW w:w="1085" w:type="dxa"/>
            <w:shd w:val="clear" w:color="auto" w:fill="auto"/>
            <w:noWrap w:val="0"/>
            <w:vAlign w:val="center"/>
          </w:tcPr>
          <w:p w14:paraId="73F6D6D4">
            <w:pPr>
              <w:spacing w:line="240" w:lineRule="exact"/>
              <w:jc w:val="center"/>
              <w:rPr>
                <w:rFonts w:hint="eastAsia" w:ascii="仿宋" w:hAnsi="仿宋" w:eastAsia="仿宋" w:cs="仿宋"/>
                <w:spacing w:val="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pacing w:val="0"/>
                <w:sz w:val="20"/>
                <w:szCs w:val="20"/>
              </w:rPr>
              <w:t>891.54</w:t>
            </w:r>
          </w:p>
        </w:tc>
        <w:tc>
          <w:tcPr>
            <w:tcW w:w="936" w:type="dxa"/>
            <w:shd w:val="clear" w:color="auto" w:fill="auto"/>
            <w:noWrap w:val="0"/>
            <w:vAlign w:val="center"/>
          </w:tcPr>
          <w:p w14:paraId="057BC446">
            <w:pPr>
              <w:spacing w:line="240" w:lineRule="exact"/>
              <w:jc w:val="center"/>
              <w:rPr>
                <w:rFonts w:hint="eastAsia" w:ascii="仿宋" w:hAnsi="仿宋" w:eastAsia="仿宋" w:cs="仿宋"/>
                <w:spacing w:val="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pacing w:val="0"/>
                <w:sz w:val="20"/>
                <w:szCs w:val="20"/>
              </w:rPr>
              <w:t>10</w:t>
            </w:r>
          </w:p>
        </w:tc>
        <w:tc>
          <w:tcPr>
            <w:tcW w:w="816" w:type="dxa"/>
            <w:shd w:val="clear" w:color="auto" w:fill="auto"/>
            <w:noWrap w:val="0"/>
            <w:vAlign w:val="center"/>
          </w:tcPr>
          <w:p w14:paraId="63FB0068">
            <w:pPr>
              <w:spacing w:line="240" w:lineRule="exact"/>
              <w:jc w:val="center"/>
              <w:rPr>
                <w:rFonts w:hint="eastAsia" w:ascii="仿宋" w:hAnsi="仿宋" w:eastAsia="仿宋" w:cs="仿宋"/>
                <w:spacing w:val="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pacing w:val="0"/>
                <w:sz w:val="20"/>
                <w:szCs w:val="20"/>
                <w:lang w:val="en-US" w:eastAsia="zh-CN"/>
              </w:rPr>
              <w:t>92.89%</w:t>
            </w:r>
          </w:p>
        </w:tc>
        <w:tc>
          <w:tcPr>
            <w:tcW w:w="1085" w:type="dxa"/>
            <w:shd w:val="clear" w:color="auto" w:fill="auto"/>
            <w:noWrap w:val="0"/>
            <w:vAlign w:val="center"/>
          </w:tcPr>
          <w:p w14:paraId="0A22DC32">
            <w:pPr>
              <w:spacing w:line="240" w:lineRule="exact"/>
              <w:jc w:val="center"/>
              <w:rPr>
                <w:rFonts w:hint="default" w:ascii="仿宋" w:hAnsi="仿宋" w:eastAsia="仿宋" w:cs="仿宋"/>
                <w:spacing w:val="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pacing w:val="0"/>
                <w:sz w:val="20"/>
                <w:szCs w:val="20"/>
                <w:lang w:val="en-US" w:eastAsia="zh-CN"/>
              </w:rPr>
              <w:t>9.29</w:t>
            </w:r>
          </w:p>
        </w:tc>
      </w:tr>
      <w:tr w14:paraId="7206CF6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1081" w:type="dxa"/>
            <w:vMerge w:val="continue"/>
            <w:noWrap w:val="0"/>
            <w:vAlign w:val="center"/>
          </w:tcPr>
          <w:p w14:paraId="5698AA8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259" w:type="dxa"/>
            <w:gridSpan w:val="5"/>
            <w:noWrap w:val="0"/>
            <w:vAlign w:val="center"/>
          </w:tcPr>
          <w:p w14:paraId="78BCA36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hint="default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按收入性质分：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  <w:t>959.75</w:t>
            </w:r>
          </w:p>
        </w:tc>
        <w:tc>
          <w:tcPr>
            <w:tcW w:w="3922" w:type="dxa"/>
            <w:gridSpan w:val="4"/>
            <w:noWrap w:val="0"/>
            <w:vAlign w:val="center"/>
          </w:tcPr>
          <w:p w14:paraId="03E8654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hint="default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按支出性质分：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  <w:t>891.54</w:t>
            </w:r>
          </w:p>
        </w:tc>
      </w:tr>
      <w:tr w14:paraId="794B1FB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1081" w:type="dxa"/>
            <w:vMerge w:val="continue"/>
            <w:noWrap w:val="0"/>
            <w:vAlign w:val="center"/>
          </w:tcPr>
          <w:p w14:paraId="03A6AE1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259" w:type="dxa"/>
            <w:gridSpan w:val="5"/>
            <w:noWrap w:val="0"/>
            <w:vAlign w:val="center"/>
          </w:tcPr>
          <w:p w14:paraId="64C4E94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hint="default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 xml:space="preserve">  其中：  一般公共预算：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  <w:t>955.17</w:t>
            </w:r>
          </w:p>
        </w:tc>
        <w:tc>
          <w:tcPr>
            <w:tcW w:w="3922" w:type="dxa"/>
            <w:gridSpan w:val="4"/>
            <w:noWrap w:val="0"/>
            <w:vAlign w:val="center"/>
          </w:tcPr>
          <w:p w14:paraId="08A0D16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hint="default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其中：基本支出：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  <w:t>759.35</w:t>
            </w:r>
          </w:p>
        </w:tc>
      </w:tr>
      <w:tr w14:paraId="594B3E7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1081" w:type="dxa"/>
            <w:vMerge w:val="continue"/>
            <w:noWrap w:val="0"/>
            <w:vAlign w:val="center"/>
          </w:tcPr>
          <w:p w14:paraId="7C16D7D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259" w:type="dxa"/>
            <w:gridSpan w:val="5"/>
            <w:noWrap w:val="0"/>
            <w:vAlign w:val="center"/>
          </w:tcPr>
          <w:p w14:paraId="77084DC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="800" w:firstLineChars="400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政府性基金拨款：</w:t>
            </w:r>
          </w:p>
        </w:tc>
        <w:tc>
          <w:tcPr>
            <w:tcW w:w="3922" w:type="dxa"/>
            <w:gridSpan w:val="4"/>
            <w:noWrap w:val="0"/>
            <w:vAlign w:val="center"/>
          </w:tcPr>
          <w:p w14:paraId="20C07A2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="600" w:firstLineChars="300"/>
              <w:jc w:val="left"/>
              <w:textAlignment w:val="auto"/>
              <w:rPr>
                <w:rFonts w:hint="default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项目支出：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  <w:t>132.19</w:t>
            </w:r>
          </w:p>
        </w:tc>
      </w:tr>
      <w:tr w14:paraId="4FFAAAD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1081" w:type="dxa"/>
            <w:vMerge w:val="continue"/>
            <w:noWrap w:val="0"/>
            <w:vAlign w:val="center"/>
          </w:tcPr>
          <w:p w14:paraId="181DC78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259" w:type="dxa"/>
            <w:gridSpan w:val="5"/>
            <w:noWrap w:val="0"/>
            <w:vAlign w:val="center"/>
          </w:tcPr>
          <w:p w14:paraId="3BA8552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纳入专户管理的非税收入拨款：</w:t>
            </w:r>
          </w:p>
        </w:tc>
        <w:tc>
          <w:tcPr>
            <w:tcW w:w="3922" w:type="dxa"/>
            <w:gridSpan w:val="4"/>
            <w:noWrap w:val="0"/>
            <w:vAlign w:val="center"/>
          </w:tcPr>
          <w:p w14:paraId="01389A6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</w:p>
        </w:tc>
      </w:tr>
      <w:tr w14:paraId="7FFEA36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81" w:type="dxa"/>
            <w:vMerge w:val="continue"/>
            <w:noWrap w:val="0"/>
            <w:vAlign w:val="center"/>
          </w:tcPr>
          <w:p w14:paraId="1D642DC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259" w:type="dxa"/>
            <w:gridSpan w:val="5"/>
            <w:noWrap w:val="0"/>
            <w:vAlign w:val="center"/>
          </w:tcPr>
          <w:p w14:paraId="7A6A096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="1400" w:firstLineChars="700"/>
              <w:jc w:val="left"/>
              <w:textAlignment w:val="auto"/>
              <w:rPr>
                <w:rFonts w:hint="default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其他资金：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  <w:t>4.58</w:t>
            </w:r>
          </w:p>
        </w:tc>
        <w:tc>
          <w:tcPr>
            <w:tcW w:w="3922" w:type="dxa"/>
            <w:gridSpan w:val="4"/>
            <w:noWrap w:val="0"/>
            <w:vAlign w:val="center"/>
          </w:tcPr>
          <w:p w14:paraId="7107DF7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</w:p>
        </w:tc>
      </w:tr>
      <w:tr w14:paraId="6D6B0AA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6" w:hRule="atLeast"/>
          <w:jc w:val="center"/>
        </w:trPr>
        <w:tc>
          <w:tcPr>
            <w:tcW w:w="1081" w:type="dxa"/>
            <w:vMerge w:val="restart"/>
            <w:noWrap w:val="0"/>
            <w:vAlign w:val="center"/>
          </w:tcPr>
          <w:p w14:paraId="6C25623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年度总体目标</w:t>
            </w:r>
          </w:p>
        </w:tc>
        <w:tc>
          <w:tcPr>
            <w:tcW w:w="4259" w:type="dxa"/>
            <w:gridSpan w:val="5"/>
            <w:noWrap w:val="0"/>
            <w:vAlign w:val="center"/>
          </w:tcPr>
          <w:p w14:paraId="7D8E40D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预期目标</w:t>
            </w:r>
          </w:p>
        </w:tc>
        <w:tc>
          <w:tcPr>
            <w:tcW w:w="3922" w:type="dxa"/>
            <w:gridSpan w:val="4"/>
            <w:noWrap w:val="0"/>
            <w:vAlign w:val="center"/>
          </w:tcPr>
          <w:p w14:paraId="6A78104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实际完成情况　</w:t>
            </w:r>
          </w:p>
        </w:tc>
      </w:tr>
      <w:tr w14:paraId="0099A94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5" w:hRule="atLeast"/>
          <w:jc w:val="center"/>
        </w:trPr>
        <w:tc>
          <w:tcPr>
            <w:tcW w:w="1081" w:type="dxa"/>
            <w:vMerge w:val="continue"/>
            <w:noWrap w:val="0"/>
            <w:vAlign w:val="center"/>
          </w:tcPr>
          <w:p w14:paraId="5F476A9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259" w:type="dxa"/>
            <w:gridSpan w:val="5"/>
            <w:noWrap w:val="0"/>
            <w:vAlign w:val="center"/>
          </w:tcPr>
          <w:p w14:paraId="5ECC208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both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spacing w:val="0"/>
                <w:sz w:val="20"/>
                <w:szCs w:val="20"/>
              </w:rPr>
              <w:t>1</w:t>
            </w:r>
            <w:r>
              <w:rPr>
                <w:rFonts w:hint="eastAsia" w:ascii="仿宋" w:hAnsi="仿宋" w:eastAsia="仿宋" w:cs="仿宋"/>
                <w:color w:val="000000"/>
                <w:spacing w:val="0"/>
                <w:sz w:val="20"/>
                <w:szCs w:val="20"/>
                <w:lang w:eastAsia="zh-CN"/>
              </w:rPr>
              <w:t>.</w:t>
            </w:r>
            <w:r>
              <w:rPr>
                <w:rFonts w:hint="eastAsia" w:ascii="仿宋" w:hAnsi="仿宋" w:eastAsia="仿宋" w:cs="仿宋"/>
                <w:color w:val="000000"/>
                <w:spacing w:val="0"/>
                <w:sz w:val="20"/>
                <w:szCs w:val="20"/>
              </w:rPr>
              <w:t>提高政治站位，持续加强政治机关建设</w:t>
            </w:r>
            <w:r>
              <w:rPr>
                <w:rFonts w:hint="eastAsia" w:ascii="仿宋" w:hAnsi="仿宋" w:eastAsia="仿宋" w:cs="仿宋"/>
                <w:color w:val="000000"/>
                <w:spacing w:val="0"/>
                <w:sz w:val="20"/>
                <w:szCs w:val="20"/>
                <w:lang w:eastAsia="zh-CN"/>
              </w:rPr>
              <w:t>。</w:t>
            </w:r>
            <w:r>
              <w:rPr>
                <w:rFonts w:hint="eastAsia" w:ascii="仿宋" w:hAnsi="仿宋" w:eastAsia="仿宋" w:cs="仿宋"/>
                <w:color w:val="000000"/>
                <w:spacing w:val="0"/>
                <w:sz w:val="20"/>
                <w:szCs w:val="20"/>
                <w:lang w:val="en-US" w:eastAsia="zh-CN"/>
              </w:rPr>
              <w:t xml:space="preserve">       </w:t>
            </w:r>
            <w:r>
              <w:rPr>
                <w:rFonts w:hint="eastAsia" w:ascii="仿宋" w:hAnsi="仿宋" w:eastAsia="仿宋" w:cs="仿宋"/>
                <w:color w:val="000000"/>
                <w:spacing w:val="0"/>
                <w:sz w:val="20"/>
                <w:szCs w:val="20"/>
              </w:rPr>
              <w:t>2</w:t>
            </w:r>
            <w:r>
              <w:rPr>
                <w:rFonts w:hint="eastAsia" w:ascii="仿宋" w:hAnsi="仿宋" w:eastAsia="仿宋" w:cs="仿宋"/>
                <w:color w:val="000000"/>
                <w:spacing w:val="0"/>
                <w:sz w:val="20"/>
                <w:szCs w:val="20"/>
                <w:lang w:val="en-US" w:eastAsia="zh-CN"/>
              </w:rPr>
              <w:t>.</w:t>
            </w:r>
            <w:r>
              <w:rPr>
                <w:rFonts w:hint="eastAsia" w:ascii="仿宋" w:hAnsi="仿宋" w:eastAsia="仿宋" w:cs="仿宋"/>
                <w:color w:val="000000"/>
                <w:spacing w:val="0"/>
                <w:sz w:val="20"/>
                <w:szCs w:val="20"/>
              </w:rPr>
              <w:t>突出工作重点，持续推进卫生监督事业发展</w:t>
            </w:r>
            <w:r>
              <w:rPr>
                <w:rFonts w:hint="eastAsia" w:ascii="仿宋" w:hAnsi="仿宋" w:eastAsia="仿宋" w:cs="仿宋"/>
                <w:color w:val="000000"/>
                <w:spacing w:val="0"/>
                <w:sz w:val="20"/>
                <w:szCs w:val="20"/>
                <w:lang w:eastAsia="zh-CN"/>
              </w:rPr>
              <w:t>。</w:t>
            </w:r>
            <w:r>
              <w:rPr>
                <w:rFonts w:hint="eastAsia" w:ascii="仿宋" w:hAnsi="仿宋" w:eastAsia="仿宋" w:cs="仿宋"/>
                <w:color w:val="000000"/>
                <w:spacing w:val="0"/>
                <w:sz w:val="20"/>
                <w:szCs w:val="20"/>
                <w:lang w:val="en-US" w:eastAsia="zh-CN"/>
              </w:rPr>
              <w:t xml:space="preserve">   </w:t>
            </w:r>
            <w:r>
              <w:rPr>
                <w:rFonts w:hint="eastAsia" w:ascii="仿宋" w:hAnsi="仿宋" w:eastAsia="仿宋" w:cs="仿宋"/>
                <w:color w:val="000000"/>
                <w:spacing w:val="0"/>
                <w:sz w:val="20"/>
                <w:szCs w:val="20"/>
              </w:rPr>
              <w:t>3</w:t>
            </w:r>
            <w:r>
              <w:rPr>
                <w:rFonts w:hint="eastAsia" w:ascii="仿宋" w:hAnsi="仿宋" w:eastAsia="仿宋" w:cs="仿宋"/>
                <w:color w:val="000000"/>
                <w:spacing w:val="0"/>
                <w:sz w:val="20"/>
                <w:szCs w:val="20"/>
                <w:lang w:val="en-US" w:eastAsia="zh-CN"/>
              </w:rPr>
              <w:t>.</w:t>
            </w:r>
            <w:r>
              <w:rPr>
                <w:rFonts w:hint="eastAsia" w:ascii="仿宋" w:hAnsi="仿宋" w:eastAsia="仿宋" w:cs="仿宋"/>
                <w:color w:val="000000"/>
                <w:spacing w:val="0"/>
                <w:sz w:val="20"/>
                <w:szCs w:val="20"/>
              </w:rPr>
              <w:t>盯紧干部队伍素质建设，提高卫生执法水平。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　　</w:t>
            </w:r>
          </w:p>
        </w:tc>
        <w:tc>
          <w:tcPr>
            <w:tcW w:w="3922" w:type="dxa"/>
            <w:gridSpan w:val="4"/>
            <w:noWrap w:val="0"/>
            <w:vAlign w:val="center"/>
          </w:tcPr>
          <w:p w14:paraId="244FF7D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spacing w:val="0"/>
                <w:sz w:val="20"/>
                <w:szCs w:val="20"/>
                <w:lang w:val="en-US" w:eastAsia="zh-CN"/>
              </w:rPr>
              <w:t>1.以党的建设为统领，在激发干部动能上出实效。                                     2.有序推进医疗卫生监督、公共场所卫生监督、生活饮用水与学校卫生监督、传染病防治卫生监督以及职业与放射卫生监督等“六大”卫生监督工作，全面推行综合监督执法模式改革，突出科室整合、市县联合、专项和日常监督结合的沉浸式监督模式，做到了进一次门，办所有事，减少监督频次，减轻服务对象迎检负担。3.在日常工作业务培训会上，将普法宣传、法制培训列入必须的授课内容，不断强化广大卫生监督执法员依法行政理念。</w:t>
            </w:r>
          </w:p>
        </w:tc>
      </w:tr>
      <w:tr w14:paraId="1005005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5" w:hRule="atLeast"/>
          <w:jc w:val="center"/>
        </w:trPr>
        <w:tc>
          <w:tcPr>
            <w:tcW w:w="1081" w:type="dxa"/>
            <w:vMerge w:val="restart"/>
            <w:noWrap w:val="0"/>
            <w:vAlign w:val="center"/>
          </w:tcPr>
          <w:p w14:paraId="3F978E2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绩</w:t>
            </w:r>
          </w:p>
          <w:p w14:paraId="4E2BACB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效</w:t>
            </w:r>
          </w:p>
          <w:p w14:paraId="3975784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指</w:t>
            </w:r>
          </w:p>
          <w:p w14:paraId="1936354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标</w:t>
            </w:r>
          </w:p>
        </w:tc>
        <w:tc>
          <w:tcPr>
            <w:tcW w:w="1056" w:type="dxa"/>
            <w:noWrap w:val="0"/>
            <w:vAlign w:val="center"/>
          </w:tcPr>
          <w:p w14:paraId="4D2736D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一级指标</w:t>
            </w:r>
          </w:p>
        </w:tc>
        <w:tc>
          <w:tcPr>
            <w:tcW w:w="1015" w:type="dxa"/>
            <w:noWrap w:val="0"/>
            <w:vAlign w:val="center"/>
          </w:tcPr>
          <w:p w14:paraId="4C44CE0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二级指标</w:t>
            </w:r>
          </w:p>
        </w:tc>
        <w:tc>
          <w:tcPr>
            <w:tcW w:w="1052" w:type="dxa"/>
            <w:gridSpan w:val="2"/>
            <w:noWrap w:val="0"/>
            <w:vAlign w:val="center"/>
          </w:tcPr>
          <w:p w14:paraId="063616E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三级指标</w:t>
            </w:r>
          </w:p>
        </w:tc>
        <w:tc>
          <w:tcPr>
            <w:tcW w:w="1136" w:type="dxa"/>
            <w:noWrap w:val="0"/>
            <w:vAlign w:val="center"/>
          </w:tcPr>
          <w:p w14:paraId="368D6C3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年度</w:t>
            </w:r>
          </w:p>
          <w:p w14:paraId="0D2999C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指标值</w:t>
            </w:r>
          </w:p>
        </w:tc>
        <w:tc>
          <w:tcPr>
            <w:tcW w:w="1085" w:type="dxa"/>
            <w:noWrap w:val="0"/>
            <w:vAlign w:val="center"/>
          </w:tcPr>
          <w:p w14:paraId="2FFC00C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实际</w:t>
            </w:r>
          </w:p>
          <w:p w14:paraId="774CF9A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完成值</w:t>
            </w:r>
          </w:p>
        </w:tc>
        <w:tc>
          <w:tcPr>
            <w:tcW w:w="936" w:type="dxa"/>
            <w:noWrap w:val="0"/>
            <w:vAlign w:val="center"/>
          </w:tcPr>
          <w:p w14:paraId="41F802C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分值</w:t>
            </w:r>
          </w:p>
        </w:tc>
        <w:tc>
          <w:tcPr>
            <w:tcW w:w="816" w:type="dxa"/>
            <w:noWrap w:val="0"/>
            <w:vAlign w:val="center"/>
          </w:tcPr>
          <w:p w14:paraId="7C30489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得分</w:t>
            </w:r>
          </w:p>
        </w:tc>
        <w:tc>
          <w:tcPr>
            <w:tcW w:w="1085" w:type="dxa"/>
            <w:noWrap w:val="0"/>
            <w:vAlign w:val="top"/>
          </w:tcPr>
          <w:p w14:paraId="1DE8193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偏差原因</w:t>
            </w:r>
          </w:p>
          <w:p w14:paraId="75AE273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分析及</w:t>
            </w:r>
          </w:p>
          <w:p w14:paraId="624FB11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改进措施</w:t>
            </w:r>
          </w:p>
        </w:tc>
      </w:tr>
      <w:tr w14:paraId="00D8839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9" w:hRule="atLeast"/>
          <w:jc w:val="center"/>
        </w:trPr>
        <w:tc>
          <w:tcPr>
            <w:tcW w:w="1081" w:type="dxa"/>
            <w:vMerge w:val="continue"/>
            <w:noWrap w:val="0"/>
            <w:vAlign w:val="center"/>
          </w:tcPr>
          <w:p w14:paraId="276D071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056" w:type="dxa"/>
            <w:vMerge w:val="restart"/>
            <w:noWrap w:val="0"/>
            <w:vAlign w:val="center"/>
          </w:tcPr>
          <w:p w14:paraId="0BCC092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eastAsia="zh-CN"/>
              </w:rPr>
              <w:t>成本指标</w:t>
            </w:r>
          </w:p>
        </w:tc>
        <w:tc>
          <w:tcPr>
            <w:tcW w:w="1015" w:type="dxa"/>
            <w:noWrap w:val="0"/>
            <w:vAlign w:val="center"/>
          </w:tcPr>
          <w:p w14:paraId="7C73645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eastAsia="zh-CN"/>
              </w:rPr>
              <w:t>经济成本指标</w:t>
            </w:r>
          </w:p>
        </w:tc>
        <w:tc>
          <w:tcPr>
            <w:tcW w:w="1052" w:type="dxa"/>
            <w:gridSpan w:val="2"/>
            <w:noWrap w:val="0"/>
            <w:vAlign w:val="center"/>
          </w:tcPr>
          <w:p w14:paraId="4B9E497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整体成本控制</w:t>
            </w:r>
          </w:p>
        </w:tc>
        <w:tc>
          <w:tcPr>
            <w:tcW w:w="1136" w:type="dxa"/>
            <w:shd w:val="clear" w:color="auto" w:fill="auto"/>
            <w:noWrap w:val="0"/>
            <w:vAlign w:val="center"/>
          </w:tcPr>
          <w:p w14:paraId="6A92563D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FF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spacing w:val="0"/>
                <w:sz w:val="20"/>
                <w:szCs w:val="20"/>
              </w:rPr>
              <w:t>≤</w:t>
            </w:r>
            <w:r>
              <w:rPr>
                <w:rFonts w:hint="eastAsia" w:ascii="仿宋" w:hAnsi="仿宋" w:eastAsia="仿宋" w:cs="仿宋"/>
                <w:color w:val="000000"/>
                <w:spacing w:val="0"/>
                <w:sz w:val="20"/>
                <w:szCs w:val="20"/>
                <w:lang w:val="en-US" w:eastAsia="zh-CN"/>
              </w:rPr>
              <w:t>833.71万元（实际成本控制在预算指标内计20分，每超出成本10%扣0.2分，扣完为止</w:t>
            </w:r>
          </w:p>
        </w:tc>
        <w:tc>
          <w:tcPr>
            <w:tcW w:w="1085" w:type="dxa"/>
            <w:noWrap w:val="0"/>
            <w:vAlign w:val="center"/>
          </w:tcPr>
          <w:p w14:paraId="2817CC5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  <w:t>891.54</w:t>
            </w:r>
          </w:p>
        </w:tc>
        <w:tc>
          <w:tcPr>
            <w:tcW w:w="936" w:type="dxa"/>
            <w:noWrap w:val="0"/>
            <w:vAlign w:val="center"/>
          </w:tcPr>
          <w:p w14:paraId="4B0CE42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  <w:t>20</w:t>
            </w:r>
          </w:p>
        </w:tc>
        <w:tc>
          <w:tcPr>
            <w:tcW w:w="816" w:type="dxa"/>
            <w:noWrap w:val="0"/>
            <w:vAlign w:val="center"/>
          </w:tcPr>
          <w:p w14:paraId="3B98CBB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  <w:t>20</w:t>
            </w:r>
          </w:p>
        </w:tc>
        <w:tc>
          <w:tcPr>
            <w:tcW w:w="1085" w:type="dxa"/>
            <w:noWrap w:val="0"/>
            <w:vAlign w:val="center"/>
          </w:tcPr>
          <w:p w14:paraId="7FB5B36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spacing w:val="0"/>
                <w:sz w:val="20"/>
                <w:szCs w:val="20"/>
                <w:lang w:val="en-US" w:eastAsia="zh-CN"/>
              </w:rPr>
              <w:t>偏差原因：中央、省级专项资金、财政代管资金等未纳入年初预算范围，改进措施：完善预算编制口径。</w:t>
            </w:r>
          </w:p>
        </w:tc>
      </w:tr>
      <w:tr w14:paraId="40F1EEA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3" w:hRule="atLeast"/>
          <w:jc w:val="center"/>
        </w:trPr>
        <w:tc>
          <w:tcPr>
            <w:tcW w:w="1081" w:type="dxa"/>
            <w:vMerge w:val="continue"/>
            <w:noWrap w:val="0"/>
            <w:vAlign w:val="center"/>
          </w:tcPr>
          <w:p w14:paraId="6363EA7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056" w:type="dxa"/>
            <w:vMerge w:val="continue"/>
            <w:noWrap w:val="0"/>
            <w:vAlign w:val="center"/>
          </w:tcPr>
          <w:p w14:paraId="6125E47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015" w:type="dxa"/>
            <w:noWrap w:val="0"/>
            <w:vAlign w:val="center"/>
          </w:tcPr>
          <w:p w14:paraId="5A28DDE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eastAsia="zh-CN"/>
              </w:rPr>
              <w:t>社会成本指标</w:t>
            </w:r>
          </w:p>
        </w:tc>
        <w:tc>
          <w:tcPr>
            <w:tcW w:w="1052" w:type="dxa"/>
            <w:gridSpan w:val="2"/>
            <w:noWrap w:val="0"/>
            <w:vAlign w:val="center"/>
          </w:tcPr>
          <w:p w14:paraId="3CFDD77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不适用</w:t>
            </w:r>
          </w:p>
        </w:tc>
        <w:tc>
          <w:tcPr>
            <w:tcW w:w="1136" w:type="dxa"/>
            <w:noWrap w:val="0"/>
            <w:vAlign w:val="center"/>
          </w:tcPr>
          <w:p w14:paraId="2F49BCB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085" w:type="dxa"/>
            <w:noWrap w:val="0"/>
            <w:vAlign w:val="center"/>
          </w:tcPr>
          <w:p w14:paraId="2609C88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936" w:type="dxa"/>
            <w:noWrap w:val="0"/>
            <w:vAlign w:val="center"/>
          </w:tcPr>
          <w:p w14:paraId="34415B6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816" w:type="dxa"/>
            <w:noWrap w:val="0"/>
            <w:vAlign w:val="center"/>
          </w:tcPr>
          <w:p w14:paraId="1180B5B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085" w:type="dxa"/>
            <w:noWrap w:val="0"/>
            <w:vAlign w:val="center"/>
          </w:tcPr>
          <w:p w14:paraId="505947B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</w:p>
        </w:tc>
      </w:tr>
      <w:tr w14:paraId="6F3F126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3" w:hRule="atLeast"/>
          <w:jc w:val="center"/>
        </w:trPr>
        <w:tc>
          <w:tcPr>
            <w:tcW w:w="1081" w:type="dxa"/>
            <w:vMerge w:val="continue"/>
            <w:noWrap w:val="0"/>
            <w:vAlign w:val="center"/>
          </w:tcPr>
          <w:p w14:paraId="6D83FE9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056" w:type="dxa"/>
            <w:vMerge w:val="continue"/>
            <w:noWrap w:val="0"/>
            <w:vAlign w:val="center"/>
          </w:tcPr>
          <w:p w14:paraId="30BEE61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015" w:type="dxa"/>
            <w:noWrap w:val="0"/>
            <w:vAlign w:val="center"/>
          </w:tcPr>
          <w:p w14:paraId="0E593B0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kern w:val="0"/>
                <w:sz w:val="20"/>
                <w:szCs w:val="20"/>
                <w:lang w:eastAsia="zh-CN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0"/>
                <w:szCs w:val="20"/>
                <w:lang w:eastAsia="zh-CN"/>
              </w:rPr>
              <w:t>生态成本指标</w:t>
            </w:r>
          </w:p>
        </w:tc>
        <w:tc>
          <w:tcPr>
            <w:tcW w:w="1052" w:type="dxa"/>
            <w:gridSpan w:val="2"/>
            <w:noWrap w:val="0"/>
            <w:vAlign w:val="center"/>
          </w:tcPr>
          <w:p w14:paraId="33AE985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不适用</w:t>
            </w:r>
          </w:p>
        </w:tc>
        <w:tc>
          <w:tcPr>
            <w:tcW w:w="1136" w:type="dxa"/>
            <w:noWrap w:val="0"/>
            <w:vAlign w:val="center"/>
          </w:tcPr>
          <w:p w14:paraId="3BEEE16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085" w:type="dxa"/>
            <w:noWrap w:val="0"/>
            <w:vAlign w:val="center"/>
          </w:tcPr>
          <w:p w14:paraId="5C9C397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936" w:type="dxa"/>
            <w:noWrap w:val="0"/>
            <w:vAlign w:val="center"/>
          </w:tcPr>
          <w:p w14:paraId="707D856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816" w:type="dxa"/>
            <w:noWrap w:val="0"/>
            <w:vAlign w:val="center"/>
          </w:tcPr>
          <w:p w14:paraId="1E4BFE3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085" w:type="dxa"/>
            <w:noWrap w:val="0"/>
            <w:vAlign w:val="center"/>
          </w:tcPr>
          <w:p w14:paraId="1D8A1D0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</w:p>
        </w:tc>
      </w:tr>
      <w:tr w14:paraId="1724715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4" w:hRule="atLeast"/>
          <w:jc w:val="center"/>
        </w:trPr>
        <w:tc>
          <w:tcPr>
            <w:tcW w:w="1081" w:type="dxa"/>
            <w:vMerge w:val="continue"/>
            <w:noWrap w:val="0"/>
            <w:vAlign w:val="center"/>
          </w:tcPr>
          <w:p w14:paraId="2558464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056" w:type="dxa"/>
            <w:vMerge w:val="restart"/>
            <w:noWrap w:val="0"/>
            <w:vAlign w:val="center"/>
          </w:tcPr>
          <w:p w14:paraId="2E21AB8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产出指标</w:t>
            </w:r>
          </w:p>
          <w:p w14:paraId="4104B11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015" w:type="dxa"/>
            <w:noWrap w:val="0"/>
            <w:vAlign w:val="center"/>
          </w:tcPr>
          <w:p w14:paraId="0467875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0"/>
                <w:szCs w:val="20"/>
              </w:rPr>
              <w:t>数量</w:t>
            </w:r>
          </w:p>
          <w:p w14:paraId="1E7696B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0"/>
                <w:szCs w:val="20"/>
              </w:rPr>
              <w:t>指标</w:t>
            </w:r>
          </w:p>
        </w:tc>
        <w:tc>
          <w:tcPr>
            <w:tcW w:w="1052" w:type="dxa"/>
            <w:gridSpan w:val="2"/>
            <w:noWrap w:val="0"/>
            <w:vAlign w:val="center"/>
          </w:tcPr>
          <w:p w14:paraId="2B3FDD7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重点工作完成数</w:t>
            </w:r>
          </w:p>
        </w:tc>
        <w:tc>
          <w:tcPr>
            <w:tcW w:w="1136" w:type="dxa"/>
            <w:noWrap w:val="0"/>
            <w:vAlign w:val="center"/>
          </w:tcPr>
          <w:p w14:paraId="1AF52109">
            <w:pPr>
              <w:widowControl/>
              <w:spacing w:line="240" w:lineRule="exact"/>
              <w:jc w:val="left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spacing w:val="0"/>
                <w:sz w:val="20"/>
                <w:szCs w:val="20"/>
              </w:rPr>
              <w:t>　≥</w:t>
            </w:r>
            <w:r>
              <w:rPr>
                <w:rFonts w:hint="eastAsia" w:ascii="仿宋" w:hAnsi="仿宋" w:eastAsia="仿宋" w:cs="仿宋"/>
                <w:color w:val="000000"/>
                <w:spacing w:val="0"/>
                <w:sz w:val="20"/>
                <w:szCs w:val="20"/>
                <w:lang w:val="en-US" w:eastAsia="zh-CN"/>
              </w:rPr>
              <w:t>5</w:t>
            </w:r>
          </w:p>
        </w:tc>
        <w:tc>
          <w:tcPr>
            <w:tcW w:w="1085" w:type="dxa"/>
            <w:noWrap w:val="0"/>
            <w:vAlign w:val="center"/>
          </w:tcPr>
          <w:p w14:paraId="6AABE7FD">
            <w:pPr>
              <w:widowControl/>
              <w:spacing w:line="240" w:lineRule="exact"/>
              <w:jc w:val="left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spacing w:val="0"/>
                <w:sz w:val="20"/>
                <w:szCs w:val="20"/>
              </w:rPr>
              <w:t>　</w:t>
            </w:r>
            <w:r>
              <w:rPr>
                <w:rFonts w:hint="eastAsia" w:ascii="仿宋" w:hAnsi="仿宋" w:eastAsia="仿宋" w:cs="仿宋"/>
                <w:color w:val="000000"/>
                <w:spacing w:val="0"/>
                <w:sz w:val="20"/>
                <w:szCs w:val="20"/>
                <w:lang w:val="en-US" w:eastAsia="zh-CN"/>
              </w:rPr>
              <w:t xml:space="preserve">   5</w:t>
            </w:r>
          </w:p>
        </w:tc>
        <w:tc>
          <w:tcPr>
            <w:tcW w:w="936" w:type="dxa"/>
            <w:noWrap w:val="0"/>
            <w:vAlign w:val="center"/>
          </w:tcPr>
          <w:p w14:paraId="5E18AEF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　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  <w:t>15</w:t>
            </w:r>
          </w:p>
        </w:tc>
        <w:tc>
          <w:tcPr>
            <w:tcW w:w="816" w:type="dxa"/>
            <w:noWrap w:val="0"/>
            <w:vAlign w:val="center"/>
          </w:tcPr>
          <w:p w14:paraId="6D0A009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　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  <w:t>15</w:t>
            </w:r>
          </w:p>
        </w:tc>
        <w:tc>
          <w:tcPr>
            <w:tcW w:w="1085" w:type="dxa"/>
            <w:noWrap w:val="0"/>
            <w:vAlign w:val="center"/>
          </w:tcPr>
          <w:p w14:paraId="3339EE5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　</w:t>
            </w:r>
          </w:p>
        </w:tc>
      </w:tr>
      <w:tr w14:paraId="3476069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3" w:hRule="atLeast"/>
          <w:jc w:val="center"/>
        </w:trPr>
        <w:tc>
          <w:tcPr>
            <w:tcW w:w="1081" w:type="dxa"/>
            <w:vMerge w:val="continue"/>
            <w:noWrap w:val="0"/>
            <w:vAlign w:val="center"/>
          </w:tcPr>
          <w:p w14:paraId="7E03D4C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056" w:type="dxa"/>
            <w:vMerge w:val="continue"/>
            <w:noWrap w:val="0"/>
            <w:vAlign w:val="center"/>
          </w:tcPr>
          <w:p w14:paraId="3C574A4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015" w:type="dxa"/>
            <w:noWrap w:val="0"/>
            <w:vAlign w:val="center"/>
          </w:tcPr>
          <w:p w14:paraId="341CD79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质量</w:t>
            </w:r>
          </w:p>
          <w:p w14:paraId="491D790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指标</w:t>
            </w:r>
          </w:p>
        </w:tc>
        <w:tc>
          <w:tcPr>
            <w:tcW w:w="1052" w:type="dxa"/>
            <w:gridSpan w:val="2"/>
            <w:noWrap w:val="0"/>
            <w:vAlign w:val="center"/>
          </w:tcPr>
          <w:p w14:paraId="45C5280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达标完成率</w:t>
            </w:r>
          </w:p>
        </w:tc>
        <w:tc>
          <w:tcPr>
            <w:tcW w:w="1136" w:type="dxa"/>
            <w:noWrap w:val="0"/>
            <w:vAlign w:val="center"/>
          </w:tcPr>
          <w:p w14:paraId="57A00836">
            <w:pPr>
              <w:widowControl/>
              <w:spacing w:line="240" w:lineRule="exact"/>
              <w:jc w:val="left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spacing w:val="0"/>
                <w:sz w:val="20"/>
                <w:szCs w:val="20"/>
              </w:rPr>
              <w:t>　</w:t>
            </w:r>
            <w:r>
              <w:rPr>
                <w:rFonts w:hint="eastAsia" w:ascii="仿宋" w:hAnsi="仿宋" w:eastAsia="仿宋" w:cs="仿宋"/>
                <w:color w:val="000000"/>
                <w:spacing w:val="0"/>
                <w:sz w:val="20"/>
                <w:szCs w:val="20"/>
                <w:lang w:val="en-US" w:eastAsia="zh-CN"/>
              </w:rPr>
              <w:t>=100%</w:t>
            </w:r>
          </w:p>
        </w:tc>
        <w:tc>
          <w:tcPr>
            <w:tcW w:w="1085" w:type="dxa"/>
            <w:noWrap w:val="0"/>
            <w:vAlign w:val="center"/>
          </w:tcPr>
          <w:p w14:paraId="2AE24C0A">
            <w:pPr>
              <w:widowControl/>
              <w:spacing w:line="240" w:lineRule="exact"/>
              <w:jc w:val="left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spacing w:val="0"/>
                <w:sz w:val="20"/>
                <w:szCs w:val="20"/>
              </w:rPr>
              <w:t>　</w:t>
            </w:r>
            <w:r>
              <w:rPr>
                <w:rFonts w:hint="eastAsia" w:ascii="仿宋" w:hAnsi="仿宋" w:eastAsia="仿宋" w:cs="仿宋"/>
                <w:color w:val="000000"/>
                <w:spacing w:val="0"/>
                <w:sz w:val="20"/>
                <w:szCs w:val="20"/>
                <w:lang w:val="en-US" w:eastAsia="zh-CN"/>
              </w:rPr>
              <w:t>100%</w:t>
            </w:r>
          </w:p>
        </w:tc>
        <w:tc>
          <w:tcPr>
            <w:tcW w:w="936" w:type="dxa"/>
            <w:noWrap w:val="0"/>
            <w:vAlign w:val="center"/>
          </w:tcPr>
          <w:p w14:paraId="3624F29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　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  <w:t>15</w:t>
            </w:r>
          </w:p>
        </w:tc>
        <w:tc>
          <w:tcPr>
            <w:tcW w:w="816" w:type="dxa"/>
            <w:noWrap w:val="0"/>
            <w:vAlign w:val="center"/>
          </w:tcPr>
          <w:p w14:paraId="24AF832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　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  <w:t>15</w:t>
            </w:r>
          </w:p>
        </w:tc>
        <w:tc>
          <w:tcPr>
            <w:tcW w:w="1085" w:type="dxa"/>
            <w:noWrap w:val="0"/>
            <w:vAlign w:val="center"/>
          </w:tcPr>
          <w:p w14:paraId="553550E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　</w:t>
            </w:r>
          </w:p>
        </w:tc>
      </w:tr>
      <w:tr w14:paraId="6271F14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6" w:hRule="atLeast"/>
          <w:jc w:val="center"/>
        </w:trPr>
        <w:tc>
          <w:tcPr>
            <w:tcW w:w="1081" w:type="dxa"/>
            <w:vMerge w:val="continue"/>
            <w:noWrap w:val="0"/>
            <w:vAlign w:val="center"/>
          </w:tcPr>
          <w:p w14:paraId="40CB358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056" w:type="dxa"/>
            <w:vMerge w:val="continue"/>
            <w:noWrap w:val="0"/>
            <w:vAlign w:val="center"/>
          </w:tcPr>
          <w:p w14:paraId="460DA12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015" w:type="dxa"/>
            <w:noWrap w:val="0"/>
            <w:vAlign w:val="center"/>
          </w:tcPr>
          <w:p w14:paraId="3F94B55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时效</w:t>
            </w:r>
          </w:p>
          <w:p w14:paraId="53BCE07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指标</w:t>
            </w:r>
          </w:p>
        </w:tc>
        <w:tc>
          <w:tcPr>
            <w:tcW w:w="1052" w:type="dxa"/>
            <w:gridSpan w:val="2"/>
            <w:noWrap w:val="0"/>
            <w:vAlign w:val="center"/>
          </w:tcPr>
          <w:p w14:paraId="109C7FE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及时完成情况</w:t>
            </w:r>
          </w:p>
        </w:tc>
        <w:tc>
          <w:tcPr>
            <w:tcW w:w="1136" w:type="dxa"/>
            <w:noWrap w:val="0"/>
            <w:vAlign w:val="center"/>
          </w:tcPr>
          <w:p w14:paraId="243A602B">
            <w:pPr>
              <w:widowControl/>
              <w:spacing w:line="240" w:lineRule="exact"/>
              <w:jc w:val="left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spacing w:val="0"/>
                <w:sz w:val="20"/>
                <w:szCs w:val="20"/>
              </w:rPr>
              <w:t>2024年12月31日之前</w:t>
            </w:r>
          </w:p>
        </w:tc>
        <w:tc>
          <w:tcPr>
            <w:tcW w:w="1085" w:type="dxa"/>
            <w:noWrap w:val="0"/>
            <w:vAlign w:val="center"/>
          </w:tcPr>
          <w:p w14:paraId="461FBFEC">
            <w:pPr>
              <w:widowControl/>
              <w:spacing w:line="240" w:lineRule="exact"/>
              <w:ind w:firstLine="200" w:firstLineChars="100"/>
              <w:jc w:val="left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spacing w:val="0"/>
                <w:sz w:val="20"/>
                <w:szCs w:val="20"/>
              </w:rPr>
              <w:t>2024年12月31日之前</w:t>
            </w:r>
          </w:p>
        </w:tc>
        <w:tc>
          <w:tcPr>
            <w:tcW w:w="936" w:type="dxa"/>
            <w:noWrap w:val="0"/>
            <w:vAlign w:val="center"/>
          </w:tcPr>
          <w:p w14:paraId="21A58C1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　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  <w:t>10</w:t>
            </w:r>
          </w:p>
        </w:tc>
        <w:tc>
          <w:tcPr>
            <w:tcW w:w="816" w:type="dxa"/>
            <w:noWrap w:val="0"/>
            <w:vAlign w:val="center"/>
          </w:tcPr>
          <w:p w14:paraId="2843FCF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　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  <w:t>10</w:t>
            </w:r>
          </w:p>
        </w:tc>
        <w:tc>
          <w:tcPr>
            <w:tcW w:w="1085" w:type="dxa"/>
            <w:noWrap w:val="0"/>
            <w:vAlign w:val="center"/>
          </w:tcPr>
          <w:p w14:paraId="74513B6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　</w:t>
            </w:r>
          </w:p>
        </w:tc>
      </w:tr>
      <w:tr w14:paraId="09CC688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7" w:hRule="atLeast"/>
          <w:jc w:val="center"/>
        </w:trPr>
        <w:tc>
          <w:tcPr>
            <w:tcW w:w="1081" w:type="dxa"/>
            <w:vMerge w:val="continue"/>
            <w:noWrap w:val="0"/>
            <w:vAlign w:val="center"/>
          </w:tcPr>
          <w:p w14:paraId="72FEEB3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056" w:type="dxa"/>
            <w:vMerge w:val="restart"/>
            <w:noWrap w:val="0"/>
            <w:vAlign w:val="center"/>
          </w:tcPr>
          <w:p w14:paraId="191E7D6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效益指标</w:t>
            </w:r>
          </w:p>
          <w:p w14:paraId="2248A18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015" w:type="dxa"/>
            <w:noWrap w:val="0"/>
            <w:vAlign w:val="center"/>
          </w:tcPr>
          <w:p w14:paraId="13801C4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经济效</w:t>
            </w:r>
          </w:p>
          <w:p w14:paraId="3312857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益指标</w:t>
            </w:r>
          </w:p>
        </w:tc>
        <w:tc>
          <w:tcPr>
            <w:tcW w:w="1052" w:type="dxa"/>
            <w:gridSpan w:val="2"/>
            <w:noWrap w:val="0"/>
            <w:vAlign w:val="center"/>
          </w:tcPr>
          <w:p w14:paraId="3EBBE3C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spacing w:val="0"/>
                <w:sz w:val="20"/>
                <w:szCs w:val="20"/>
              </w:rPr>
              <w:t>减少突发事件对经济的影响</w:t>
            </w:r>
          </w:p>
        </w:tc>
        <w:tc>
          <w:tcPr>
            <w:tcW w:w="1136" w:type="dxa"/>
            <w:noWrap w:val="0"/>
            <w:vAlign w:val="center"/>
          </w:tcPr>
          <w:p w14:paraId="474A5D2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spacing w:val="0"/>
                <w:sz w:val="20"/>
                <w:szCs w:val="20"/>
                <w:lang w:val="en-US" w:eastAsia="zh-CN"/>
              </w:rPr>
              <w:t>效果明显</w:t>
            </w:r>
          </w:p>
        </w:tc>
        <w:tc>
          <w:tcPr>
            <w:tcW w:w="1085" w:type="dxa"/>
            <w:shd w:val="clear" w:color="auto" w:fill="auto"/>
            <w:noWrap w:val="0"/>
            <w:vAlign w:val="center"/>
          </w:tcPr>
          <w:p w14:paraId="26DFEC30">
            <w:pPr>
              <w:widowControl/>
              <w:spacing w:line="240" w:lineRule="exact"/>
              <w:jc w:val="left"/>
              <w:rPr>
                <w:rFonts w:hint="eastAsia" w:ascii="仿宋" w:hAnsi="仿宋" w:eastAsia="仿宋" w:cs="仿宋"/>
                <w:color w:val="000000"/>
                <w:spacing w:val="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spacing w:val="0"/>
                <w:sz w:val="20"/>
                <w:szCs w:val="20"/>
                <w:lang w:val="en-US" w:eastAsia="zh-CN"/>
              </w:rPr>
              <w:t>效果明显</w:t>
            </w:r>
          </w:p>
        </w:tc>
        <w:tc>
          <w:tcPr>
            <w:tcW w:w="936" w:type="dxa"/>
            <w:shd w:val="clear" w:color="auto" w:fill="auto"/>
            <w:noWrap w:val="0"/>
            <w:vAlign w:val="center"/>
          </w:tcPr>
          <w:p w14:paraId="52158094">
            <w:pPr>
              <w:widowControl/>
              <w:spacing w:line="240" w:lineRule="exact"/>
              <w:jc w:val="center"/>
              <w:rPr>
                <w:rFonts w:hint="eastAsia" w:ascii="仿宋" w:hAnsi="仿宋" w:eastAsia="仿宋" w:cs="仿宋"/>
                <w:color w:val="000000"/>
                <w:spacing w:val="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spacing w:val="0"/>
                <w:sz w:val="20"/>
                <w:szCs w:val="20"/>
                <w:lang w:val="en-US" w:eastAsia="zh-CN"/>
              </w:rPr>
              <w:t>7</w:t>
            </w:r>
          </w:p>
        </w:tc>
        <w:tc>
          <w:tcPr>
            <w:tcW w:w="816" w:type="dxa"/>
            <w:shd w:val="clear" w:color="auto" w:fill="auto"/>
            <w:noWrap w:val="0"/>
            <w:vAlign w:val="center"/>
          </w:tcPr>
          <w:p w14:paraId="6312926C">
            <w:pPr>
              <w:widowControl/>
              <w:spacing w:line="240" w:lineRule="exact"/>
              <w:jc w:val="left"/>
              <w:rPr>
                <w:rFonts w:hint="eastAsia" w:ascii="仿宋" w:hAnsi="仿宋" w:eastAsia="仿宋" w:cs="仿宋"/>
                <w:color w:val="000000"/>
                <w:spacing w:val="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spacing w:val="0"/>
                <w:sz w:val="20"/>
                <w:szCs w:val="20"/>
              </w:rPr>
              <w:t>　</w:t>
            </w:r>
            <w:r>
              <w:rPr>
                <w:rFonts w:hint="eastAsia" w:ascii="仿宋" w:hAnsi="仿宋" w:eastAsia="仿宋" w:cs="仿宋"/>
                <w:color w:val="000000"/>
                <w:spacing w:val="0"/>
                <w:sz w:val="20"/>
                <w:szCs w:val="20"/>
                <w:lang w:val="en-US" w:eastAsia="zh-CN"/>
              </w:rPr>
              <w:t>7</w:t>
            </w:r>
          </w:p>
        </w:tc>
        <w:tc>
          <w:tcPr>
            <w:tcW w:w="1085" w:type="dxa"/>
            <w:noWrap w:val="0"/>
            <w:vAlign w:val="center"/>
          </w:tcPr>
          <w:p w14:paraId="530ABEA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　</w:t>
            </w:r>
          </w:p>
        </w:tc>
      </w:tr>
      <w:tr w14:paraId="4013FDA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0" w:hRule="atLeast"/>
          <w:jc w:val="center"/>
        </w:trPr>
        <w:tc>
          <w:tcPr>
            <w:tcW w:w="1081" w:type="dxa"/>
            <w:vMerge w:val="continue"/>
            <w:noWrap w:val="0"/>
            <w:vAlign w:val="center"/>
          </w:tcPr>
          <w:p w14:paraId="7C194F1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056" w:type="dxa"/>
            <w:vMerge w:val="continue"/>
            <w:noWrap w:val="0"/>
            <w:vAlign w:val="center"/>
          </w:tcPr>
          <w:p w14:paraId="18D3DEA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015" w:type="dxa"/>
            <w:noWrap w:val="0"/>
            <w:vAlign w:val="center"/>
          </w:tcPr>
          <w:p w14:paraId="0528A1B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社会效</w:t>
            </w:r>
          </w:p>
          <w:p w14:paraId="04C64D8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益指标</w:t>
            </w:r>
          </w:p>
        </w:tc>
        <w:tc>
          <w:tcPr>
            <w:tcW w:w="1052" w:type="dxa"/>
            <w:gridSpan w:val="2"/>
            <w:shd w:val="clear" w:color="auto" w:fill="auto"/>
            <w:noWrap w:val="0"/>
            <w:vAlign w:val="center"/>
          </w:tcPr>
          <w:p w14:paraId="3D88BD9B">
            <w:pPr>
              <w:widowControl/>
              <w:spacing w:line="240" w:lineRule="exact"/>
              <w:jc w:val="center"/>
              <w:rPr>
                <w:rFonts w:hint="eastAsia" w:ascii="仿宋" w:hAnsi="仿宋" w:eastAsia="仿宋" w:cs="仿宋"/>
                <w:color w:val="000000"/>
                <w:spacing w:val="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spacing w:val="0"/>
                <w:sz w:val="20"/>
                <w:szCs w:val="20"/>
              </w:rPr>
              <w:t>保障和提高公众的健康水平</w:t>
            </w:r>
          </w:p>
        </w:tc>
        <w:tc>
          <w:tcPr>
            <w:tcW w:w="1136" w:type="dxa"/>
            <w:shd w:val="clear" w:color="auto" w:fill="auto"/>
            <w:noWrap w:val="0"/>
            <w:vAlign w:val="center"/>
          </w:tcPr>
          <w:p w14:paraId="5205284E">
            <w:pPr>
              <w:widowControl/>
              <w:spacing w:line="240" w:lineRule="exact"/>
              <w:jc w:val="left"/>
              <w:rPr>
                <w:rFonts w:hint="eastAsia" w:ascii="仿宋" w:hAnsi="仿宋" w:eastAsia="仿宋" w:cs="仿宋"/>
                <w:color w:val="000000"/>
                <w:spacing w:val="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spacing w:val="0"/>
                <w:sz w:val="20"/>
                <w:szCs w:val="20"/>
                <w:lang w:val="en-US" w:eastAsia="zh-CN"/>
              </w:rPr>
              <w:t>效果明显</w:t>
            </w:r>
          </w:p>
        </w:tc>
        <w:tc>
          <w:tcPr>
            <w:tcW w:w="1085" w:type="dxa"/>
            <w:shd w:val="clear" w:color="auto" w:fill="auto"/>
            <w:noWrap w:val="0"/>
            <w:vAlign w:val="center"/>
          </w:tcPr>
          <w:p w14:paraId="02645640">
            <w:pPr>
              <w:widowControl/>
              <w:spacing w:line="240" w:lineRule="exact"/>
              <w:jc w:val="left"/>
              <w:rPr>
                <w:rFonts w:hint="eastAsia" w:ascii="仿宋" w:hAnsi="仿宋" w:eastAsia="仿宋" w:cs="仿宋"/>
                <w:color w:val="000000"/>
                <w:spacing w:val="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spacing w:val="0"/>
                <w:sz w:val="20"/>
                <w:szCs w:val="20"/>
                <w:lang w:val="en-US" w:eastAsia="zh-CN"/>
              </w:rPr>
              <w:t>效果明显</w:t>
            </w:r>
          </w:p>
        </w:tc>
        <w:tc>
          <w:tcPr>
            <w:tcW w:w="936" w:type="dxa"/>
            <w:shd w:val="clear" w:color="auto" w:fill="auto"/>
            <w:noWrap w:val="0"/>
            <w:vAlign w:val="center"/>
          </w:tcPr>
          <w:p w14:paraId="2083A164">
            <w:pPr>
              <w:widowControl/>
              <w:spacing w:line="240" w:lineRule="exact"/>
              <w:jc w:val="center"/>
              <w:rPr>
                <w:rFonts w:hint="eastAsia" w:ascii="仿宋" w:hAnsi="仿宋" w:eastAsia="仿宋" w:cs="仿宋"/>
                <w:color w:val="000000"/>
                <w:spacing w:val="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spacing w:val="0"/>
                <w:sz w:val="20"/>
                <w:szCs w:val="20"/>
                <w:lang w:val="en-US" w:eastAsia="zh-CN"/>
              </w:rPr>
              <w:t>7</w:t>
            </w:r>
          </w:p>
        </w:tc>
        <w:tc>
          <w:tcPr>
            <w:tcW w:w="816" w:type="dxa"/>
            <w:shd w:val="clear" w:color="auto" w:fill="auto"/>
            <w:noWrap w:val="0"/>
            <w:vAlign w:val="center"/>
          </w:tcPr>
          <w:p w14:paraId="4633CB59">
            <w:pPr>
              <w:widowControl/>
              <w:spacing w:line="240" w:lineRule="exact"/>
              <w:jc w:val="left"/>
              <w:rPr>
                <w:rFonts w:hint="eastAsia" w:ascii="仿宋" w:hAnsi="仿宋" w:eastAsia="仿宋" w:cs="仿宋"/>
                <w:color w:val="000000"/>
                <w:spacing w:val="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spacing w:val="0"/>
                <w:sz w:val="20"/>
                <w:szCs w:val="20"/>
              </w:rPr>
              <w:t>　</w:t>
            </w:r>
            <w:r>
              <w:rPr>
                <w:rFonts w:hint="eastAsia" w:ascii="仿宋" w:hAnsi="仿宋" w:eastAsia="仿宋" w:cs="仿宋"/>
                <w:color w:val="000000"/>
                <w:spacing w:val="0"/>
                <w:sz w:val="20"/>
                <w:szCs w:val="20"/>
                <w:lang w:val="en-US" w:eastAsia="zh-CN"/>
              </w:rPr>
              <w:t>7</w:t>
            </w:r>
          </w:p>
        </w:tc>
        <w:tc>
          <w:tcPr>
            <w:tcW w:w="1085" w:type="dxa"/>
            <w:noWrap w:val="0"/>
            <w:vAlign w:val="center"/>
          </w:tcPr>
          <w:p w14:paraId="735E90E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　</w:t>
            </w:r>
          </w:p>
        </w:tc>
      </w:tr>
      <w:tr w14:paraId="50BEB1A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9" w:hRule="atLeast"/>
          <w:jc w:val="center"/>
        </w:trPr>
        <w:tc>
          <w:tcPr>
            <w:tcW w:w="1081" w:type="dxa"/>
            <w:vMerge w:val="continue"/>
            <w:noWrap w:val="0"/>
            <w:vAlign w:val="center"/>
          </w:tcPr>
          <w:p w14:paraId="6BD16E6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056" w:type="dxa"/>
            <w:vMerge w:val="continue"/>
            <w:noWrap w:val="0"/>
            <w:vAlign w:val="center"/>
          </w:tcPr>
          <w:p w14:paraId="31B7938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015" w:type="dxa"/>
            <w:noWrap w:val="0"/>
            <w:vAlign w:val="center"/>
          </w:tcPr>
          <w:p w14:paraId="5830E2E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生态效</w:t>
            </w:r>
          </w:p>
          <w:p w14:paraId="309FF6E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益指标</w:t>
            </w:r>
          </w:p>
        </w:tc>
        <w:tc>
          <w:tcPr>
            <w:tcW w:w="1052" w:type="dxa"/>
            <w:gridSpan w:val="2"/>
            <w:noWrap w:val="0"/>
            <w:vAlign w:val="center"/>
          </w:tcPr>
          <w:p w14:paraId="075BE70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spacing w:val="0"/>
                <w:sz w:val="20"/>
                <w:szCs w:val="20"/>
                <w:lang w:val="en-US" w:eastAsia="zh-CN"/>
              </w:rPr>
              <w:t>不适用</w:t>
            </w:r>
          </w:p>
        </w:tc>
        <w:tc>
          <w:tcPr>
            <w:tcW w:w="1136" w:type="dxa"/>
            <w:noWrap w:val="0"/>
            <w:vAlign w:val="center"/>
          </w:tcPr>
          <w:p w14:paraId="14C8624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085" w:type="dxa"/>
            <w:noWrap w:val="0"/>
            <w:vAlign w:val="center"/>
          </w:tcPr>
          <w:p w14:paraId="00E9496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936" w:type="dxa"/>
            <w:noWrap w:val="0"/>
            <w:vAlign w:val="center"/>
          </w:tcPr>
          <w:p w14:paraId="0A922AE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816" w:type="dxa"/>
            <w:noWrap w:val="0"/>
            <w:vAlign w:val="center"/>
          </w:tcPr>
          <w:p w14:paraId="2D00C3E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085" w:type="dxa"/>
            <w:noWrap w:val="0"/>
            <w:vAlign w:val="center"/>
          </w:tcPr>
          <w:p w14:paraId="41B2CB9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　</w:t>
            </w:r>
          </w:p>
        </w:tc>
      </w:tr>
      <w:tr w14:paraId="5EBD71A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4" w:hRule="atLeast"/>
          <w:jc w:val="center"/>
        </w:trPr>
        <w:tc>
          <w:tcPr>
            <w:tcW w:w="1081" w:type="dxa"/>
            <w:vMerge w:val="continue"/>
            <w:noWrap w:val="0"/>
            <w:vAlign w:val="center"/>
          </w:tcPr>
          <w:p w14:paraId="5561D54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056" w:type="dxa"/>
            <w:vMerge w:val="continue"/>
            <w:noWrap w:val="0"/>
            <w:vAlign w:val="center"/>
          </w:tcPr>
          <w:p w14:paraId="772AAF1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015" w:type="dxa"/>
            <w:noWrap w:val="0"/>
            <w:vAlign w:val="center"/>
          </w:tcPr>
          <w:p w14:paraId="3FBC971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可持续影响指标</w:t>
            </w:r>
          </w:p>
        </w:tc>
        <w:tc>
          <w:tcPr>
            <w:tcW w:w="1052" w:type="dxa"/>
            <w:gridSpan w:val="2"/>
            <w:shd w:val="clear" w:color="auto" w:fill="auto"/>
            <w:noWrap w:val="0"/>
            <w:vAlign w:val="center"/>
          </w:tcPr>
          <w:p w14:paraId="11D79D15">
            <w:pPr>
              <w:widowControl/>
              <w:spacing w:line="240" w:lineRule="exact"/>
              <w:jc w:val="center"/>
              <w:rPr>
                <w:rFonts w:hint="eastAsia" w:ascii="仿宋" w:hAnsi="仿宋" w:eastAsia="仿宋" w:cs="仿宋"/>
                <w:color w:val="000000"/>
                <w:spacing w:val="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spacing w:val="0"/>
                <w:sz w:val="20"/>
                <w:szCs w:val="20"/>
              </w:rPr>
              <w:t>监管服务对象健康安全意识逐步得到提高</w:t>
            </w:r>
          </w:p>
        </w:tc>
        <w:tc>
          <w:tcPr>
            <w:tcW w:w="1136" w:type="dxa"/>
            <w:shd w:val="clear" w:color="auto" w:fill="auto"/>
            <w:noWrap w:val="0"/>
            <w:vAlign w:val="center"/>
          </w:tcPr>
          <w:p w14:paraId="08C69CA7">
            <w:pPr>
              <w:widowControl/>
              <w:spacing w:line="240" w:lineRule="exact"/>
              <w:jc w:val="left"/>
              <w:rPr>
                <w:rFonts w:hint="eastAsia" w:ascii="仿宋" w:hAnsi="仿宋" w:eastAsia="仿宋" w:cs="仿宋"/>
                <w:color w:val="000000"/>
                <w:spacing w:val="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spacing w:val="0"/>
                <w:sz w:val="20"/>
                <w:szCs w:val="20"/>
                <w:lang w:val="en-US" w:eastAsia="zh-CN"/>
              </w:rPr>
              <w:t>效果明显</w:t>
            </w:r>
          </w:p>
        </w:tc>
        <w:tc>
          <w:tcPr>
            <w:tcW w:w="1085" w:type="dxa"/>
            <w:shd w:val="clear" w:color="auto" w:fill="auto"/>
            <w:noWrap w:val="0"/>
            <w:vAlign w:val="center"/>
          </w:tcPr>
          <w:p w14:paraId="0B3C7A9D">
            <w:pPr>
              <w:widowControl/>
              <w:spacing w:line="240" w:lineRule="exact"/>
              <w:jc w:val="left"/>
              <w:rPr>
                <w:rFonts w:hint="eastAsia" w:ascii="仿宋" w:hAnsi="仿宋" w:eastAsia="仿宋" w:cs="仿宋"/>
                <w:color w:val="000000"/>
                <w:spacing w:val="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spacing w:val="0"/>
                <w:sz w:val="20"/>
                <w:szCs w:val="20"/>
                <w:lang w:val="en-US" w:eastAsia="zh-CN"/>
              </w:rPr>
              <w:t>效果明显</w:t>
            </w:r>
          </w:p>
        </w:tc>
        <w:tc>
          <w:tcPr>
            <w:tcW w:w="936" w:type="dxa"/>
            <w:shd w:val="clear" w:color="auto" w:fill="auto"/>
            <w:noWrap w:val="0"/>
            <w:vAlign w:val="center"/>
          </w:tcPr>
          <w:p w14:paraId="017F888E">
            <w:pPr>
              <w:widowControl/>
              <w:spacing w:line="240" w:lineRule="exact"/>
              <w:jc w:val="center"/>
              <w:rPr>
                <w:rFonts w:hint="eastAsia" w:ascii="仿宋" w:hAnsi="仿宋" w:eastAsia="仿宋" w:cs="仿宋"/>
                <w:color w:val="000000"/>
                <w:spacing w:val="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spacing w:val="0"/>
                <w:sz w:val="20"/>
                <w:szCs w:val="20"/>
                <w:lang w:val="en-US" w:eastAsia="zh-CN"/>
              </w:rPr>
              <w:t>6</w:t>
            </w:r>
          </w:p>
        </w:tc>
        <w:tc>
          <w:tcPr>
            <w:tcW w:w="816" w:type="dxa"/>
            <w:shd w:val="clear" w:color="auto" w:fill="auto"/>
            <w:noWrap w:val="0"/>
            <w:vAlign w:val="center"/>
          </w:tcPr>
          <w:p w14:paraId="2FC6B3E2">
            <w:pPr>
              <w:widowControl/>
              <w:spacing w:line="240" w:lineRule="exact"/>
              <w:jc w:val="left"/>
              <w:rPr>
                <w:rFonts w:hint="eastAsia" w:ascii="仿宋" w:hAnsi="仿宋" w:eastAsia="仿宋" w:cs="仿宋"/>
                <w:color w:val="000000"/>
                <w:spacing w:val="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spacing w:val="0"/>
                <w:sz w:val="20"/>
                <w:szCs w:val="20"/>
              </w:rPr>
              <w:t>　</w:t>
            </w:r>
            <w:r>
              <w:rPr>
                <w:rFonts w:hint="eastAsia" w:ascii="仿宋" w:hAnsi="仿宋" w:eastAsia="仿宋" w:cs="仿宋"/>
                <w:color w:val="000000"/>
                <w:spacing w:val="0"/>
                <w:sz w:val="20"/>
                <w:szCs w:val="20"/>
                <w:lang w:val="en-US" w:eastAsia="zh-CN"/>
              </w:rPr>
              <w:t>6</w:t>
            </w:r>
          </w:p>
        </w:tc>
        <w:tc>
          <w:tcPr>
            <w:tcW w:w="1085" w:type="dxa"/>
            <w:noWrap w:val="0"/>
            <w:vAlign w:val="center"/>
          </w:tcPr>
          <w:p w14:paraId="6E044B6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　</w:t>
            </w:r>
          </w:p>
        </w:tc>
      </w:tr>
      <w:tr w14:paraId="1BC94DE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2" w:hRule="atLeast"/>
          <w:jc w:val="center"/>
        </w:trPr>
        <w:tc>
          <w:tcPr>
            <w:tcW w:w="1081" w:type="dxa"/>
            <w:vMerge w:val="continue"/>
            <w:noWrap w:val="0"/>
            <w:vAlign w:val="center"/>
          </w:tcPr>
          <w:p w14:paraId="4D45A32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056" w:type="dxa"/>
            <w:noWrap w:val="0"/>
            <w:vAlign w:val="center"/>
          </w:tcPr>
          <w:p w14:paraId="4853C14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满意度</w:t>
            </w:r>
          </w:p>
          <w:p w14:paraId="03A82D9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指标</w:t>
            </w:r>
          </w:p>
          <w:p w14:paraId="3C2F04A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015" w:type="dxa"/>
            <w:noWrap w:val="0"/>
            <w:vAlign w:val="center"/>
          </w:tcPr>
          <w:p w14:paraId="5699FF2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服务对象满意度指标</w:t>
            </w:r>
          </w:p>
        </w:tc>
        <w:tc>
          <w:tcPr>
            <w:tcW w:w="1052" w:type="dxa"/>
            <w:gridSpan w:val="2"/>
            <w:shd w:val="clear" w:color="auto" w:fill="auto"/>
            <w:noWrap w:val="0"/>
            <w:vAlign w:val="center"/>
          </w:tcPr>
          <w:p w14:paraId="02D08B51">
            <w:pPr>
              <w:widowControl/>
              <w:spacing w:line="240" w:lineRule="exact"/>
              <w:jc w:val="center"/>
              <w:rPr>
                <w:rFonts w:hint="eastAsia" w:ascii="仿宋" w:hAnsi="仿宋" w:eastAsia="仿宋" w:cs="仿宋"/>
                <w:color w:val="000000"/>
                <w:spacing w:val="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spacing w:val="0"/>
                <w:sz w:val="20"/>
                <w:szCs w:val="20"/>
              </w:rPr>
              <w:t>社会公众满意度</w:t>
            </w:r>
          </w:p>
        </w:tc>
        <w:tc>
          <w:tcPr>
            <w:tcW w:w="1136" w:type="dxa"/>
            <w:shd w:val="clear" w:color="auto" w:fill="auto"/>
            <w:noWrap w:val="0"/>
            <w:vAlign w:val="center"/>
          </w:tcPr>
          <w:p w14:paraId="11C74467">
            <w:pPr>
              <w:widowControl/>
              <w:spacing w:line="240" w:lineRule="exact"/>
              <w:jc w:val="left"/>
              <w:rPr>
                <w:rFonts w:hint="eastAsia" w:ascii="仿宋" w:hAnsi="仿宋" w:eastAsia="仿宋" w:cs="仿宋"/>
                <w:color w:val="000000"/>
                <w:spacing w:val="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spacing w:val="0"/>
                <w:sz w:val="20"/>
                <w:szCs w:val="20"/>
              </w:rPr>
              <w:t>　≥</w:t>
            </w:r>
            <w:r>
              <w:rPr>
                <w:rFonts w:hint="eastAsia" w:ascii="仿宋" w:hAnsi="仿宋" w:eastAsia="仿宋" w:cs="仿宋"/>
                <w:color w:val="000000"/>
                <w:spacing w:val="0"/>
                <w:sz w:val="20"/>
                <w:szCs w:val="20"/>
                <w:lang w:val="en-US" w:eastAsia="zh-CN"/>
              </w:rPr>
              <w:t>95%</w:t>
            </w:r>
          </w:p>
        </w:tc>
        <w:tc>
          <w:tcPr>
            <w:tcW w:w="1085" w:type="dxa"/>
            <w:shd w:val="clear" w:color="auto" w:fill="auto"/>
            <w:noWrap w:val="0"/>
            <w:vAlign w:val="center"/>
          </w:tcPr>
          <w:p w14:paraId="38871719">
            <w:pPr>
              <w:widowControl/>
              <w:spacing w:line="240" w:lineRule="exact"/>
              <w:ind w:firstLine="400" w:firstLineChars="200"/>
              <w:jc w:val="left"/>
              <w:rPr>
                <w:rFonts w:hint="eastAsia" w:ascii="仿宋" w:hAnsi="仿宋" w:eastAsia="仿宋" w:cs="仿宋"/>
                <w:color w:val="000000"/>
                <w:spacing w:val="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spacing w:val="0"/>
                <w:sz w:val="20"/>
                <w:szCs w:val="20"/>
                <w:lang w:val="en-US" w:eastAsia="zh-CN"/>
              </w:rPr>
              <w:t>95%</w:t>
            </w:r>
          </w:p>
        </w:tc>
        <w:tc>
          <w:tcPr>
            <w:tcW w:w="936" w:type="dxa"/>
            <w:shd w:val="clear" w:color="auto" w:fill="auto"/>
            <w:noWrap w:val="0"/>
            <w:vAlign w:val="center"/>
          </w:tcPr>
          <w:p w14:paraId="43A71535">
            <w:pPr>
              <w:widowControl/>
              <w:spacing w:line="240" w:lineRule="exact"/>
              <w:jc w:val="center"/>
              <w:rPr>
                <w:rFonts w:hint="eastAsia" w:ascii="仿宋" w:hAnsi="仿宋" w:eastAsia="仿宋" w:cs="仿宋"/>
                <w:color w:val="000000"/>
                <w:spacing w:val="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spacing w:val="0"/>
                <w:sz w:val="20"/>
                <w:szCs w:val="20"/>
                <w:lang w:val="en-US" w:eastAsia="zh-CN"/>
              </w:rPr>
              <w:t>10</w:t>
            </w:r>
          </w:p>
        </w:tc>
        <w:tc>
          <w:tcPr>
            <w:tcW w:w="816" w:type="dxa"/>
            <w:shd w:val="clear" w:color="auto" w:fill="auto"/>
            <w:noWrap w:val="0"/>
            <w:vAlign w:val="center"/>
          </w:tcPr>
          <w:p w14:paraId="7B513B28">
            <w:pPr>
              <w:widowControl/>
              <w:spacing w:line="240" w:lineRule="exact"/>
              <w:jc w:val="left"/>
              <w:rPr>
                <w:rFonts w:hint="eastAsia" w:ascii="仿宋" w:hAnsi="仿宋" w:eastAsia="仿宋" w:cs="仿宋"/>
                <w:color w:val="000000"/>
                <w:spacing w:val="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spacing w:val="0"/>
                <w:sz w:val="20"/>
                <w:szCs w:val="20"/>
              </w:rPr>
              <w:t>　</w:t>
            </w:r>
            <w:r>
              <w:rPr>
                <w:rFonts w:hint="eastAsia" w:ascii="仿宋" w:hAnsi="仿宋" w:eastAsia="仿宋" w:cs="仿宋"/>
                <w:color w:val="000000"/>
                <w:spacing w:val="0"/>
                <w:sz w:val="20"/>
                <w:szCs w:val="20"/>
                <w:lang w:val="en-US" w:eastAsia="zh-CN"/>
              </w:rPr>
              <w:t>10</w:t>
            </w:r>
          </w:p>
        </w:tc>
        <w:tc>
          <w:tcPr>
            <w:tcW w:w="1085" w:type="dxa"/>
            <w:shd w:val="clear" w:color="auto" w:fill="auto"/>
            <w:noWrap w:val="0"/>
            <w:vAlign w:val="center"/>
          </w:tcPr>
          <w:p w14:paraId="3E5DB12B">
            <w:pPr>
              <w:widowControl/>
              <w:spacing w:line="240" w:lineRule="exact"/>
              <w:jc w:val="left"/>
              <w:rPr>
                <w:rFonts w:hint="eastAsia" w:ascii="仿宋" w:hAnsi="仿宋" w:eastAsia="仿宋" w:cs="仿宋"/>
                <w:color w:val="000000"/>
                <w:spacing w:val="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spacing w:val="0"/>
                <w:sz w:val="20"/>
                <w:szCs w:val="20"/>
              </w:rPr>
              <w:t>　</w:t>
            </w:r>
          </w:p>
        </w:tc>
      </w:tr>
      <w:tr w14:paraId="2B141FA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6425" w:type="dxa"/>
            <w:gridSpan w:val="7"/>
            <w:noWrap w:val="0"/>
            <w:vAlign w:val="center"/>
          </w:tcPr>
          <w:p w14:paraId="302A31D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总分</w:t>
            </w:r>
          </w:p>
        </w:tc>
        <w:tc>
          <w:tcPr>
            <w:tcW w:w="936" w:type="dxa"/>
            <w:noWrap w:val="0"/>
            <w:vAlign w:val="center"/>
          </w:tcPr>
          <w:p w14:paraId="7121980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100</w:t>
            </w:r>
          </w:p>
        </w:tc>
        <w:tc>
          <w:tcPr>
            <w:tcW w:w="816" w:type="dxa"/>
            <w:noWrap w:val="0"/>
            <w:vAlign w:val="center"/>
          </w:tcPr>
          <w:p w14:paraId="7E1C4A0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hint="default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　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  <w:t>99.29</w:t>
            </w:r>
          </w:p>
        </w:tc>
        <w:tc>
          <w:tcPr>
            <w:tcW w:w="1085" w:type="dxa"/>
            <w:noWrap w:val="0"/>
            <w:vAlign w:val="center"/>
          </w:tcPr>
          <w:p w14:paraId="20978F7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　</w:t>
            </w:r>
          </w:p>
        </w:tc>
      </w:tr>
    </w:tbl>
    <w:p w14:paraId="73DD7AAE">
      <w:pPr>
        <w:widowControl w:val="0"/>
        <w:kinsoku/>
        <w:autoSpaceDE/>
        <w:autoSpaceDN/>
        <w:adjustRightInd/>
        <w:snapToGrid/>
        <w:spacing w:line="600" w:lineRule="exact"/>
        <w:jc w:val="both"/>
        <w:textAlignment w:val="auto"/>
        <w:rPr>
          <w:rFonts w:hint="default" w:ascii="Times New Roman" w:hAnsi="Times New Roman" w:eastAsia="仿宋_GB2312" w:cs="Times New Roman"/>
          <w:snapToGrid/>
          <w:color w:val="000000"/>
          <w:kern w:val="0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仿宋_GB2312" w:cs="Times New Roman"/>
          <w:snapToGrid/>
          <w:color w:val="000000"/>
          <w:kern w:val="0"/>
          <w:sz w:val="24"/>
          <w:szCs w:val="24"/>
          <w:lang w:val="en-US" w:eastAsia="zh-CN" w:bidi="ar-SA"/>
        </w:rPr>
        <w:t>填表人：</w:t>
      </w:r>
      <w:r>
        <w:rPr>
          <w:rFonts w:hint="eastAsia" w:ascii="Times New Roman" w:hAnsi="Times New Roman" w:eastAsia="仿宋_GB2312" w:cs="Times New Roman"/>
          <w:snapToGrid/>
          <w:color w:val="000000"/>
          <w:kern w:val="0"/>
          <w:sz w:val="24"/>
          <w:szCs w:val="24"/>
          <w:lang w:val="en-US" w:eastAsia="zh-CN" w:bidi="ar-SA"/>
        </w:rPr>
        <w:t xml:space="preserve">王婵媛        </w:t>
      </w:r>
      <w:r>
        <w:rPr>
          <w:rFonts w:hint="default" w:ascii="Times New Roman" w:hAnsi="Times New Roman" w:eastAsia="仿宋_GB2312" w:cs="Times New Roman"/>
          <w:snapToGrid/>
          <w:color w:val="000000"/>
          <w:kern w:val="0"/>
          <w:sz w:val="24"/>
          <w:szCs w:val="24"/>
          <w:lang w:val="en-US" w:eastAsia="zh-CN" w:bidi="ar-SA"/>
        </w:rPr>
        <w:t xml:space="preserve">  填报日期：</w:t>
      </w:r>
      <w:r>
        <w:rPr>
          <w:rFonts w:hint="eastAsia" w:ascii="Times New Roman" w:hAnsi="Times New Roman" w:eastAsia="仿宋_GB2312" w:cs="Times New Roman"/>
          <w:snapToGrid/>
          <w:color w:val="000000"/>
          <w:kern w:val="0"/>
          <w:sz w:val="24"/>
          <w:szCs w:val="24"/>
          <w:lang w:val="en-US" w:eastAsia="zh-CN" w:bidi="ar-SA"/>
        </w:rPr>
        <w:t xml:space="preserve">2025.6.6          </w:t>
      </w:r>
      <w:r>
        <w:rPr>
          <w:rFonts w:hint="default" w:ascii="Times New Roman" w:hAnsi="Times New Roman" w:eastAsia="仿宋_GB2312" w:cs="Times New Roman"/>
          <w:snapToGrid/>
          <w:color w:val="000000"/>
          <w:kern w:val="0"/>
          <w:sz w:val="24"/>
          <w:szCs w:val="24"/>
          <w:lang w:val="en-US" w:eastAsia="zh-CN" w:bidi="ar-SA"/>
        </w:rPr>
        <w:t>联系电话：</w:t>
      </w:r>
      <w:r>
        <w:rPr>
          <w:rFonts w:hint="eastAsia" w:ascii="Times New Roman" w:hAnsi="Times New Roman" w:eastAsia="仿宋_GB2312" w:cs="Times New Roman"/>
          <w:snapToGrid/>
          <w:color w:val="000000"/>
          <w:kern w:val="0"/>
          <w:sz w:val="24"/>
          <w:szCs w:val="24"/>
          <w:lang w:val="en-US" w:eastAsia="zh-CN" w:bidi="ar-SA"/>
        </w:rPr>
        <w:t xml:space="preserve"> 0745-2248517</w:t>
      </w:r>
    </w:p>
    <w:p w14:paraId="3B83C2D1">
      <w:pPr>
        <w:rPr>
          <w:rFonts w:hint="default" w:ascii="Times New Roman Regular" w:hAnsi="Times New Roman Regular" w:eastAsia="仿宋_GB2312" w:cs="Times New Roman Regular"/>
          <w:color w:val="auto"/>
          <w:sz w:val="32"/>
          <w:szCs w:val="32"/>
          <w:highlight w:val="none"/>
          <w:lang w:val="en-US" w:eastAsia="zh-CN"/>
        </w:rPr>
      </w:pPr>
    </w:p>
    <w:sectPr>
      <w:footerReference r:id="rId3" w:type="default"/>
      <w:pgSz w:w="11906" w:h="16838"/>
      <w:pgMar w:top="2098" w:right="1800" w:bottom="1984" w:left="158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libri Light">
    <w:panose1 w:val="020F0302020204030204"/>
    <w:charset w:val="00"/>
    <w:family w:val="auto"/>
    <w:pitch w:val="default"/>
    <w:sig w:usb0="E4002EFF" w:usb1="C000247B" w:usb2="00000009" w:usb3="00000000" w:csb0="200001FF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  <w:embedRegular r:id="rId1" w:fontKey="{994207D1-6997-42D6-86C1-C5E46B0C1A29}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  <w:embedRegular r:id="rId2" w:fontKey="{0D26CF40-C2B6-4818-A454-3D72B8EF840E}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3" w:fontKey="{D2E37528-930E-4607-8EE4-3E104F7AE591}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4" w:fontKey="{7F6E37FF-E0C5-439D-B738-A7C53F5F62E3}"/>
  </w:font>
  <w:font w:name="Times New Roman Regular">
    <w:altName w:val="Times New Roman"/>
    <w:panose1 w:val="02020603050405020304"/>
    <w:charset w:val="00"/>
    <w:family w:val="auto"/>
    <w:pitch w:val="default"/>
    <w:sig w:usb0="00000000" w:usb1="00000000" w:usb2="00000009" w:usb3="00000000" w:csb0="400001FF" w:csb1="FFFF0000"/>
    <w:embedRegular r:id="rId5" w:fontKey="{FF1DAA9A-1A23-4AE2-B4D1-57368C7EB29F}"/>
  </w:font>
  <w:font w:name="方正仿宋_GB2312">
    <w:panose1 w:val="02000000000000000000"/>
    <w:charset w:val="86"/>
    <w:family w:val="auto"/>
    <w:pitch w:val="default"/>
    <w:sig w:usb0="A00002BF" w:usb1="184F6CFA" w:usb2="00000012" w:usb3="00000000" w:csb0="00040001" w:csb1="00000000"/>
    <w:embedRegular r:id="rId6" w:fontKey="{7F918928-CB90-4529-9C0C-CED564B43C7B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438C5C2">
    <w:pPr>
      <w:pStyle w:val="4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right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4BDC83DA">
                          <w:pPr>
                            <w:pStyle w:val="4"/>
                          </w:pPr>
                          <w:r>
                            <w:rPr>
                              <w:rFonts w:hint="eastAsia" w:ascii="方正仿宋_GB2312" w:hAnsi="方正仿宋_GB2312" w:eastAsia="方正仿宋_GB2312" w:cs="方正仿宋_GB2312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方正仿宋_GB2312" w:hAnsi="方正仿宋_GB2312" w:eastAsia="方正仿宋_GB2312" w:cs="方正仿宋_GB2312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方正仿宋_GB2312" w:hAnsi="方正仿宋_GB2312" w:eastAsia="方正仿宋_GB2312" w:cs="方正仿宋_GB2312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="方正仿宋_GB2312" w:hAnsi="方正仿宋_GB2312" w:eastAsia="方正仿宋_GB2312" w:cs="方正仿宋_GB2312"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Fonts w:hint="eastAsia" w:ascii="方正仿宋_GB2312" w:hAnsi="方正仿宋_GB2312" w:eastAsia="方正仿宋_GB2312" w:cs="方正仿宋_GB2312"/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right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Akgka0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4BDC83DA">
                    <w:pPr>
                      <w:pStyle w:val="4"/>
                    </w:pPr>
                    <w:r>
                      <w:rPr>
                        <w:rFonts w:hint="eastAsia" w:ascii="方正仿宋_GB2312" w:hAnsi="方正仿宋_GB2312" w:eastAsia="方正仿宋_GB2312" w:cs="方正仿宋_GB2312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方正仿宋_GB2312" w:hAnsi="方正仿宋_GB2312" w:eastAsia="方正仿宋_GB2312" w:cs="方正仿宋_GB2312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方正仿宋_GB2312" w:hAnsi="方正仿宋_GB2312" w:eastAsia="方正仿宋_GB2312" w:cs="方正仿宋_GB2312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="方正仿宋_GB2312" w:hAnsi="方正仿宋_GB2312" w:eastAsia="方正仿宋_GB2312" w:cs="方正仿宋_GB2312"/>
                        <w:sz w:val="28"/>
                        <w:szCs w:val="28"/>
                      </w:rPr>
                      <w:t>1</w:t>
                    </w:r>
                    <w:r>
                      <w:rPr>
                        <w:rFonts w:hint="eastAsia" w:ascii="方正仿宋_GB2312" w:hAnsi="方正仿宋_GB2312" w:eastAsia="方正仿宋_GB2312" w:cs="方正仿宋_GB2312"/>
                        <w:sz w:val="28"/>
                        <w:szCs w:val="28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TBjYmJkZTgyZjQzZTk3ZTUzMWNlNWIzZDJmYjY5OGMifQ=="/>
    <w:docVar w:name="KSO_WPS_MARK_KEY" w:val="9920a277-c0c3-43b4-93d3-1636fe398e0b"/>
  </w:docVars>
  <w:rsids>
    <w:rsidRoot w:val="753C4E9B"/>
    <w:rsid w:val="05E95AA6"/>
    <w:rsid w:val="0702516C"/>
    <w:rsid w:val="09F204B1"/>
    <w:rsid w:val="0C180A78"/>
    <w:rsid w:val="0D276746"/>
    <w:rsid w:val="0D464D9C"/>
    <w:rsid w:val="0DD52794"/>
    <w:rsid w:val="0E956870"/>
    <w:rsid w:val="0EBE0962"/>
    <w:rsid w:val="10C666A5"/>
    <w:rsid w:val="1223366A"/>
    <w:rsid w:val="143877FD"/>
    <w:rsid w:val="17190E2C"/>
    <w:rsid w:val="17DB4333"/>
    <w:rsid w:val="17FCFFF6"/>
    <w:rsid w:val="19E805B2"/>
    <w:rsid w:val="1CBF872E"/>
    <w:rsid w:val="1F9E0E74"/>
    <w:rsid w:val="1FD91AA0"/>
    <w:rsid w:val="22FE234B"/>
    <w:rsid w:val="23A91789"/>
    <w:rsid w:val="26121868"/>
    <w:rsid w:val="277E6F02"/>
    <w:rsid w:val="29990575"/>
    <w:rsid w:val="2AF6742D"/>
    <w:rsid w:val="312A2265"/>
    <w:rsid w:val="333F3E43"/>
    <w:rsid w:val="353A0493"/>
    <w:rsid w:val="36FC0F5D"/>
    <w:rsid w:val="375773F8"/>
    <w:rsid w:val="393E32BB"/>
    <w:rsid w:val="3A3C2EFF"/>
    <w:rsid w:val="3EFDDE87"/>
    <w:rsid w:val="3F8C5D8F"/>
    <w:rsid w:val="419B2857"/>
    <w:rsid w:val="41D71DA8"/>
    <w:rsid w:val="491904E2"/>
    <w:rsid w:val="4B78366B"/>
    <w:rsid w:val="4C6611ED"/>
    <w:rsid w:val="4D5D3BD3"/>
    <w:rsid w:val="4EB7F892"/>
    <w:rsid w:val="552A0475"/>
    <w:rsid w:val="572F5526"/>
    <w:rsid w:val="578D10CB"/>
    <w:rsid w:val="5A5915AC"/>
    <w:rsid w:val="5A915389"/>
    <w:rsid w:val="5ABBC979"/>
    <w:rsid w:val="5B4F263B"/>
    <w:rsid w:val="5BFC7B3B"/>
    <w:rsid w:val="5E77C7C6"/>
    <w:rsid w:val="5FFFAAE0"/>
    <w:rsid w:val="635D52B7"/>
    <w:rsid w:val="66347B2F"/>
    <w:rsid w:val="667FD72C"/>
    <w:rsid w:val="6A12486A"/>
    <w:rsid w:val="6ABE64BE"/>
    <w:rsid w:val="6B5F16C5"/>
    <w:rsid w:val="6C3A254B"/>
    <w:rsid w:val="6CF3EA5A"/>
    <w:rsid w:val="753C4E9B"/>
    <w:rsid w:val="769B7804"/>
    <w:rsid w:val="779FCBF0"/>
    <w:rsid w:val="77F7E21B"/>
    <w:rsid w:val="781113A7"/>
    <w:rsid w:val="791E6510"/>
    <w:rsid w:val="79E2F975"/>
    <w:rsid w:val="7B3BDBF2"/>
    <w:rsid w:val="7C8D4A41"/>
    <w:rsid w:val="7EBDCBBF"/>
    <w:rsid w:val="7EC74CC1"/>
    <w:rsid w:val="7EE6408F"/>
    <w:rsid w:val="7F3EB32E"/>
    <w:rsid w:val="7F5F3F3B"/>
    <w:rsid w:val="7F5FE5E8"/>
    <w:rsid w:val="7F7FC8C5"/>
    <w:rsid w:val="7FFDE9AB"/>
    <w:rsid w:val="7FFEB77D"/>
    <w:rsid w:val="7FFFADA2"/>
    <w:rsid w:val="9ED5792A"/>
    <w:rsid w:val="AEFFB886"/>
    <w:rsid w:val="BEFF7926"/>
    <w:rsid w:val="CF12F568"/>
    <w:rsid w:val="DEBF7731"/>
    <w:rsid w:val="E39F96A6"/>
    <w:rsid w:val="E6DFCF67"/>
    <w:rsid w:val="EBB76B61"/>
    <w:rsid w:val="F6D78CAF"/>
    <w:rsid w:val="F7DA3342"/>
    <w:rsid w:val="FBD266D3"/>
    <w:rsid w:val="FBFF7914"/>
    <w:rsid w:val="FDBFA637"/>
    <w:rsid w:val="FE6B70D4"/>
    <w:rsid w:val="FF2C1D8F"/>
    <w:rsid w:val="FF7BBB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qFormat="1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iPriority="99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1"/>
    <w:autoRedefine/>
    <w:semiHidden/>
    <w:unhideWhenUsed/>
    <w:qFormat/>
    <w:uiPriority w:val="0"/>
    <w:pPr>
      <w:keepNext/>
      <w:keepLines/>
      <w:spacing w:line="560" w:lineRule="exact"/>
      <w:ind w:firstLine="200" w:firstLineChars="200"/>
      <w:outlineLvl w:val="1"/>
    </w:pPr>
    <w:rPr>
      <w:rFonts w:eastAsia="楷体_GB2312" w:asciiTheme="majorAscii" w:hAnsiTheme="majorAscii" w:cstheme="majorBidi"/>
      <w:bCs/>
      <w:sz w:val="32"/>
      <w:szCs w:val="32"/>
    </w:rPr>
  </w:style>
  <w:style w:type="character" w:default="1" w:styleId="10">
    <w:name w:val="Default Paragraph Font"/>
    <w:autoRedefine/>
    <w:semiHidden/>
    <w:qFormat/>
    <w:uiPriority w:val="0"/>
  </w:style>
  <w:style w:type="table" w:default="1" w:styleId="8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 Indent"/>
    <w:basedOn w:val="1"/>
    <w:autoRedefine/>
    <w:unhideWhenUsed/>
    <w:qFormat/>
    <w:uiPriority w:val="0"/>
    <w:pPr>
      <w:spacing w:beforeLines="0" w:afterLines="0"/>
      <w:ind w:firstLine="640" w:firstLineChars="200"/>
    </w:pPr>
    <w:rPr>
      <w:rFonts w:hint="default"/>
      <w:sz w:val="32"/>
    </w:rPr>
  </w:style>
  <w:style w:type="paragraph" w:styleId="4">
    <w:name w:val="footer"/>
    <w:basedOn w:val="1"/>
    <w:autoRedefine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5">
    <w:name w:val="header"/>
    <w:basedOn w:val="1"/>
    <w:autoRedefine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6">
    <w:name w:val="Normal (Web)"/>
    <w:basedOn w:val="1"/>
    <w:autoRedefine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paragraph" w:styleId="7">
    <w:name w:val="Body Text First Indent 2"/>
    <w:basedOn w:val="3"/>
    <w:autoRedefine/>
    <w:unhideWhenUsed/>
    <w:qFormat/>
    <w:uiPriority w:val="99"/>
    <w:pPr>
      <w:spacing w:beforeLines="0" w:afterLines="0"/>
      <w:ind w:firstLine="420"/>
    </w:pPr>
    <w:rPr>
      <w:rFonts w:hint="default"/>
      <w:sz w:val="32"/>
    </w:rPr>
  </w:style>
  <w:style w:type="table" w:styleId="9">
    <w:name w:val="Table Grid"/>
    <w:basedOn w:val="8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11">
    <w:name w:val="标题1"/>
    <w:basedOn w:val="2"/>
    <w:autoRedefine/>
    <w:qFormat/>
    <w:uiPriority w:val="0"/>
    <w:rPr>
      <w:rFonts w:eastAsia="黑体"/>
    </w:rPr>
  </w:style>
  <w:style w:type="paragraph" w:customStyle="1" w:styleId="12">
    <w:name w:val="首行缩进"/>
    <w:basedOn w:val="1"/>
    <w:autoRedefine/>
    <w:qFormat/>
    <w:uiPriority w:val="0"/>
    <w:pPr>
      <w:ind w:firstLine="480" w:firstLineChars="200"/>
    </w:pPr>
    <w:rPr>
      <w:lang w:val="zh-CN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815</Words>
  <Characters>939</Characters>
  <Lines>0</Lines>
  <Paragraphs>0</Paragraphs>
  <TotalTime>48</TotalTime>
  <ScaleCrop>false</ScaleCrop>
  <LinksUpToDate>false</LinksUpToDate>
  <CharactersWithSpaces>1048</CharactersWithSpaces>
  <Application>WPS Office_12.1.0.21541_F1E327BC-269C-435d-A152-05C5408002CA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2024-02-23T10:03:00Z</dcterms:created>
  <dc:creator>1402836399</dc:creator>
  <cp:lastModifiedBy>苓萱</cp:lastModifiedBy>
  <cp:lastPrinted>2025-06-19T02:17:16Z</cp:lastPrinted>
  <dcterms:modified xsi:type="dcterms:W3CDTF">2025-06-19T03:00:53Z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2052-12.1.0.21541</vt:lpwstr>
  </property>
  <property fmtid="{D5CDD505-2E9C-101B-9397-08002B2CF9AE}" pid="3" name="ICV">
    <vt:lpwstr>2E59967559EAD85B47E0F5671AAD0169_43</vt:lpwstr>
  </property>
  <property fmtid="{D5CDD505-2E9C-101B-9397-08002B2CF9AE}" pid="4" name="KSOTemplateDocerSaveRecord">
    <vt:lpwstr>eyJoZGlkIjoiZjNlM2Y2YWE2NTE2MGRiNjk3MjIzM2MyYmY3MDUyMWIiLCJ1c2VySWQiOiIyMzQxMDc1MTEifQ==</vt:lpwstr>
  </property>
</Properties>
</file>