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90E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77A600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771E35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0AF12A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2BBFA47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Times New Roman"/>
          <w:spacing w:val="-2"/>
          <w:kern w:val="2"/>
          <w:sz w:val="32"/>
          <w:szCs w:val="32"/>
          <w:lang w:val="en-US" w:eastAsia="zh-CN" w:bidi="ar-SA"/>
        </w:rPr>
        <w:t>怀化市地震局作为一级部门预算单位，内设科室为：综合应急科及监测防御科（怀化地震台）。</w:t>
      </w:r>
    </w:p>
    <w:p w14:paraId="04DA236D">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14:paraId="24CD40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我单位2023年编制人数12人，年末在职人数8人。</w:t>
      </w:r>
    </w:p>
    <w:p w14:paraId="6557E470">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主要职能职责</w:t>
      </w:r>
    </w:p>
    <w:p w14:paraId="281A54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1.贯彻执行《中华人民共和国防震减灾法》等有关法律、法规和规章，负责监督、检查全市防震减灾工作，组织拟订并实施全市防震减灾有关方面的规范性文件。</w:t>
      </w:r>
    </w:p>
    <w:p w14:paraId="56992F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2.贯彻落实国家防震减灾工作方针、政策，牵头组织拟订全市防震减灾规划，组织制定并实施防震减灾年度工作计划。</w:t>
      </w:r>
    </w:p>
    <w:p w14:paraId="6361A3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负责和监督管理全市地震监测预警和群测群防工作体系，监督管理全市地震预测、预警、预报的科学研究工作；牵头组织制定并实施地震灾害预防、预警方案；负责和监督管理地震前兆信息处理工作，负责和监督全市地震趋势分析；会同公安等部门监督管理地震监测设施和地震监测环境。</w:t>
      </w:r>
    </w:p>
    <w:p w14:paraId="5C3EE9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4.市本级地震台运行维护管理和地震信息的获取与报送职责；组织实施防灾减灾相关试点示范创建及推广职责；依法监督管理全市地震监测台网、抗干扰设施和监测设施建设工作职责；按照部门职责分工，依法承担对工程建设强制性标准、抗震设防要求和地震安全性评价工作的监督检查职责；指导全市农村民居地震安全工程建设职责等；负责与监督管理地震应对事件和相关次生灾害事件，维护社会稳定。</w:t>
      </w:r>
    </w:p>
    <w:p w14:paraId="4E53D6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5.承担市人民政府防震减灾领导机构和抗震救灾指挥机构等办事机构的日常工作职责；组织拟订并监督管理破坏性地震应急预案和地震应急避难场所规划；会同有关部门提出地震应急救援和志愿者队伍建设的建议并监督管理；负责震情通报和地震灾害报告工作；监督管理地震灾害损失评估；提出地震灾区重建规划的建议。</w:t>
      </w:r>
    </w:p>
    <w:p w14:paraId="2471D6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6.负责和监督管理全市建设工程抗震设防标准和要求；组织拟订城市抗震防灾规划；负责和监督管理城乡建设、经济开发区、重大建设工程和可能发生严重次生灾害建设工程地震安全性评价工作；负责和监督管理地震烈度与动参数小区划；监督全市建筑物（构筑物）及重大建设工程抗震性能鉴定；审核全市地震安全性评价机构资格、认证和任务登记；监督管理本行政区域内重大工程设施的抗震设防工作，会同相关部门监督管理地震次生灾害的防御工作；提出本行政区域内城乡建设规划和土地利用规划中抗震设防的建议。</w:t>
      </w:r>
    </w:p>
    <w:p w14:paraId="732BE9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7.负责防震减灾法制工作，开展行政执法；承担本行政区域内的防震减灾行政复议、行政诉讼的责任；负责行业质量与技术监督管理工作；负责行业技术标准的宣传、贯彻、实施和执行监督；监督管理行业计量工作。</w:t>
      </w:r>
    </w:p>
    <w:p w14:paraId="5B590E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8.审核防震减灾宣传报道；会同相关部门开展防震减灾宣传教育工作，普及防震减灾科学知识，提高全民防震减灾意识。</w:t>
      </w:r>
    </w:p>
    <w:p w14:paraId="7F3BCDE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9.负责与指导地震科学研究、科技成果的推广应用；负责与指导防震减灾科普知识培训、交流，指导与防震减灾事业有关的学会、协会工作。</w:t>
      </w:r>
    </w:p>
    <w:p w14:paraId="62BFB7E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10.指导并监督县（市、区）防震减灾工作；监督管理本行政区域内县（市、区）地震台（站）业务工作；监督县（市、区）防震减灾专项经费的使用。</w:t>
      </w:r>
    </w:p>
    <w:p w14:paraId="20278F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11.承担市委、市人民政府交办的其他事项。</w:t>
      </w:r>
    </w:p>
    <w:p w14:paraId="3609D1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14:paraId="4B8B58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w:t>
      </w:r>
      <w:r>
        <w:rPr>
          <w:rFonts w:hint="default" w:ascii="仿宋" w:hAnsi="仿宋" w:eastAsia="仿宋" w:cs="Times New Roman"/>
          <w:spacing w:val="-2"/>
          <w:kern w:val="2"/>
          <w:sz w:val="32"/>
          <w:szCs w:val="32"/>
          <w:lang w:val="en-US" w:eastAsia="zh-CN" w:bidi="ar-SA"/>
        </w:rPr>
        <w:t>扎实开展防震减灾科普宣传。在5.12防灾减灾日前后一周时间里持续在市电视台、市政府大厅、户外广告屏、公交车等处滚动播放一系列防震减灾科普宣传片，并通过各地“村村响”广播《农村如何防范地震灾害》，把防震减灾科普宣传覆盖到了全市各城镇和乡村。</w:t>
      </w:r>
    </w:p>
    <w:p w14:paraId="6CD586C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2.地震监测预报及群测群防。主要是保障监测台网运行率、完整率、连续率，保障行业内网稳定运行，加强地震监测质量管理，按时完成地震监测质量评比有关资料申报。</w:t>
      </w:r>
    </w:p>
    <w:p w14:paraId="54230E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3.开展地震应急救援。开展地震应急桌面演练或综合演练，提升基层管理人员地震应急和自救互救能力。</w:t>
      </w:r>
    </w:p>
    <w:p w14:paraId="0E151017">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13B698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201EA4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1、2023年部门预算情况</w:t>
      </w:r>
    </w:p>
    <w:p w14:paraId="1CF1C1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依据《怀化市财政局关于批复下达2023年市直部门预算的通知》怀财预（2023）6号预算批复，</w:t>
      </w:r>
      <w:r>
        <w:rPr>
          <w:rFonts w:hint="default" w:ascii="仿宋" w:hAnsi="仿宋" w:eastAsia="仿宋" w:cs="Times New Roman"/>
          <w:spacing w:val="-2"/>
          <w:kern w:val="2"/>
          <w:sz w:val="32"/>
          <w:szCs w:val="32"/>
          <w:lang w:val="en-US" w:eastAsia="zh-CN" w:bidi="ar-SA"/>
        </w:rPr>
        <w:t>2023</w:t>
      </w:r>
      <w:r>
        <w:rPr>
          <w:rFonts w:hint="eastAsia" w:ascii="仿宋" w:hAnsi="仿宋" w:eastAsia="仿宋" w:cs="Times New Roman"/>
          <w:spacing w:val="-2"/>
          <w:kern w:val="2"/>
          <w:sz w:val="32"/>
          <w:szCs w:val="32"/>
          <w:lang w:val="en-US" w:eastAsia="zh-CN" w:bidi="ar-SA"/>
        </w:rPr>
        <w:t>年年初预算数为</w:t>
      </w:r>
      <w:r>
        <w:rPr>
          <w:rFonts w:hint="default" w:ascii="仿宋" w:hAnsi="仿宋" w:eastAsia="仿宋" w:cs="Times New Roman"/>
          <w:spacing w:val="-2"/>
          <w:kern w:val="2"/>
          <w:sz w:val="32"/>
          <w:szCs w:val="32"/>
          <w:lang w:val="en-US" w:eastAsia="zh-CN" w:bidi="ar-SA"/>
        </w:rPr>
        <w:t>196.26</w:t>
      </w:r>
      <w:r>
        <w:rPr>
          <w:rFonts w:hint="eastAsia" w:ascii="仿宋" w:hAnsi="仿宋" w:eastAsia="仿宋" w:cs="Times New Roman"/>
          <w:spacing w:val="-2"/>
          <w:kern w:val="2"/>
          <w:sz w:val="32"/>
          <w:szCs w:val="32"/>
          <w:lang w:val="en-US" w:eastAsia="zh-CN" w:bidi="ar-SA"/>
        </w:rPr>
        <w:t>万元，是指为保障单位机构正常运转、完成日常工作任务而发生的各项支出，包括用于机关事业单位基本养老保险缴费</w:t>
      </w:r>
      <w:r>
        <w:rPr>
          <w:rFonts w:hint="default" w:ascii="仿宋" w:hAnsi="仿宋" w:eastAsia="仿宋" w:cs="Times New Roman"/>
          <w:spacing w:val="-2"/>
          <w:kern w:val="2"/>
          <w:sz w:val="32"/>
          <w:szCs w:val="32"/>
          <w:lang w:val="en-US" w:eastAsia="zh-CN" w:bidi="ar-SA"/>
        </w:rPr>
        <w:t>17.82</w:t>
      </w:r>
      <w:r>
        <w:rPr>
          <w:rFonts w:hint="eastAsia" w:ascii="仿宋" w:hAnsi="仿宋" w:eastAsia="仿宋" w:cs="Times New Roman"/>
          <w:spacing w:val="-2"/>
          <w:kern w:val="2"/>
          <w:sz w:val="32"/>
          <w:szCs w:val="32"/>
          <w:lang w:val="en-US" w:eastAsia="zh-CN" w:bidi="ar-SA"/>
        </w:rPr>
        <w:t>万元、职工基本医疗保险缴费</w:t>
      </w:r>
      <w:r>
        <w:rPr>
          <w:rFonts w:hint="default" w:ascii="仿宋" w:hAnsi="仿宋" w:eastAsia="仿宋" w:cs="Times New Roman"/>
          <w:spacing w:val="-2"/>
          <w:kern w:val="2"/>
          <w:sz w:val="32"/>
          <w:szCs w:val="32"/>
          <w:lang w:val="en-US" w:eastAsia="zh-CN" w:bidi="ar-SA"/>
        </w:rPr>
        <w:t>7.5</w:t>
      </w:r>
      <w:r>
        <w:rPr>
          <w:rFonts w:hint="eastAsia" w:ascii="仿宋" w:hAnsi="仿宋" w:eastAsia="仿宋" w:cs="Times New Roman"/>
          <w:spacing w:val="-2"/>
          <w:kern w:val="2"/>
          <w:sz w:val="32"/>
          <w:szCs w:val="32"/>
          <w:lang w:val="en-US" w:eastAsia="zh-CN" w:bidi="ar-SA"/>
        </w:rPr>
        <w:t>万元、住房公积金</w:t>
      </w:r>
      <w:r>
        <w:rPr>
          <w:rFonts w:hint="default" w:ascii="仿宋" w:hAnsi="仿宋" w:eastAsia="仿宋" w:cs="Times New Roman"/>
          <w:spacing w:val="-2"/>
          <w:kern w:val="2"/>
          <w:sz w:val="32"/>
          <w:szCs w:val="32"/>
          <w:lang w:val="en-US" w:eastAsia="zh-CN" w:bidi="ar-SA"/>
        </w:rPr>
        <w:t>14.81</w:t>
      </w:r>
      <w:r>
        <w:rPr>
          <w:rFonts w:hint="eastAsia" w:ascii="仿宋" w:hAnsi="仿宋" w:eastAsia="仿宋" w:cs="Times New Roman"/>
          <w:spacing w:val="-2"/>
          <w:kern w:val="2"/>
          <w:sz w:val="32"/>
          <w:szCs w:val="32"/>
          <w:lang w:val="en-US" w:eastAsia="zh-CN" w:bidi="ar-SA"/>
        </w:rPr>
        <w:t>万元、基本工资</w:t>
      </w:r>
      <w:r>
        <w:rPr>
          <w:rFonts w:hint="default" w:ascii="仿宋" w:hAnsi="仿宋" w:eastAsia="仿宋" w:cs="Times New Roman"/>
          <w:spacing w:val="-2"/>
          <w:kern w:val="2"/>
          <w:sz w:val="32"/>
          <w:szCs w:val="32"/>
          <w:lang w:val="en-US" w:eastAsia="zh-CN" w:bidi="ar-SA"/>
        </w:rPr>
        <w:t>42.88</w:t>
      </w:r>
      <w:r>
        <w:rPr>
          <w:rFonts w:hint="eastAsia" w:ascii="仿宋" w:hAnsi="仿宋" w:eastAsia="仿宋" w:cs="Times New Roman"/>
          <w:spacing w:val="-2"/>
          <w:kern w:val="2"/>
          <w:sz w:val="32"/>
          <w:szCs w:val="32"/>
          <w:lang w:val="en-US" w:eastAsia="zh-CN" w:bidi="ar-SA"/>
        </w:rPr>
        <w:t>万元、其他工资福利支出</w:t>
      </w:r>
      <w:r>
        <w:rPr>
          <w:rFonts w:hint="default" w:ascii="仿宋" w:hAnsi="仿宋" w:eastAsia="仿宋" w:cs="Times New Roman"/>
          <w:spacing w:val="-2"/>
          <w:kern w:val="2"/>
          <w:sz w:val="32"/>
          <w:szCs w:val="32"/>
          <w:lang w:val="en-US" w:eastAsia="zh-CN" w:bidi="ar-SA"/>
        </w:rPr>
        <w:t>2.14</w:t>
      </w:r>
      <w:r>
        <w:rPr>
          <w:rFonts w:hint="eastAsia" w:ascii="仿宋" w:hAnsi="仿宋" w:eastAsia="仿宋" w:cs="Times New Roman"/>
          <w:spacing w:val="-2"/>
          <w:kern w:val="2"/>
          <w:sz w:val="32"/>
          <w:szCs w:val="32"/>
          <w:lang w:val="en-US" w:eastAsia="zh-CN" w:bidi="ar-SA"/>
        </w:rPr>
        <w:t>万元、绩效工资</w:t>
      </w:r>
      <w:r>
        <w:rPr>
          <w:rFonts w:hint="default" w:ascii="仿宋" w:hAnsi="仿宋" w:eastAsia="仿宋" w:cs="Times New Roman"/>
          <w:spacing w:val="-2"/>
          <w:kern w:val="2"/>
          <w:sz w:val="32"/>
          <w:szCs w:val="32"/>
          <w:lang w:val="en-US" w:eastAsia="zh-CN" w:bidi="ar-SA"/>
        </w:rPr>
        <w:t>26.58</w:t>
      </w:r>
      <w:r>
        <w:rPr>
          <w:rFonts w:hint="eastAsia" w:ascii="仿宋" w:hAnsi="仿宋" w:eastAsia="仿宋" w:cs="Times New Roman"/>
          <w:spacing w:val="-2"/>
          <w:kern w:val="2"/>
          <w:sz w:val="32"/>
          <w:szCs w:val="32"/>
          <w:lang w:val="en-US" w:eastAsia="zh-CN" w:bidi="ar-SA"/>
        </w:rPr>
        <w:t>万元、津贴补贴</w:t>
      </w:r>
      <w:r>
        <w:rPr>
          <w:rFonts w:hint="default" w:ascii="仿宋" w:hAnsi="仿宋" w:eastAsia="仿宋" w:cs="Times New Roman"/>
          <w:spacing w:val="-2"/>
          <w:kern w:val="2"/>
          <w:sz w:val="32"/>
          <w:szCs w:val="32"/>
          <w:lang w:val="en-US" w:eastAsia="zh-CN" w:bidi="ar-SA"/>
        </w:rPr>
        <w:t>0.04</w:t>
      </w:r>
      <w:r>
        <w:rPr>
          <w:rFonts w:hint="eastAsia" w:ascii="仿宋" w:hAnsi="仿宋" w:eastAsia="仿宋" w:cs="Times New Roman"/>
          <w:spacing w:val="-2"/>
          <w:kern w:val="2"/>
          <w:sz w:val="32"/>
          <w:szCs w:val="32"/>
          <w:lang w:val="en-US" w:eastAsia="zh-CN" w:bidi="ar-SA"/>
        </w:rPr>
        <w:t>万元、奖金</w:t>
      </w:r>
      <w:r>
        <w:rPr>
          <w:rFonts w:hint="default" w:ascii="仿宋" w:hAnsi="仿宋" w:eastAsia="仿宋" w:cs="Times New Roman"/>
          <w:spacing w:val="-2"/>
          <w:kern w:val="2"/>
          <w:sz w:val="32"/>
          <w:szCs w:val="32"/>
          <w:lang w:val="en-US" w:eastAsia="zh-CN" w:bidi="ar-SA"/>
        </w:rPr>
        <w:t>29.95</w:t>
      </w:r>
      <w:r>
        <w:rPr>
          <w:rFonts w:hint="eastAsia" w:ascii="仿宋" w:hAnsi="仿宋" w:eastAsia="仿宋" w:cs="Times New Roman"/>
          <w:spacing w:val="-2"/>
          <w:kern w:val="2"/>
          <w:sz w:val="32"/>
          <w:szCs w:val="32"/>
          <w:lang w:val="en-US" w:eastAsia="zh-CN" w:bidi="ar-SA"/>
        </w:rPr>
        <w:t>万元、其他商品和服务支出</w:t>
      </w:r>
      <w:r>
        <w:rPr>
          <w:rFonts w:hint="default" w:ascii="仿宋" w:hAnsi="仿宋" w:eastAsia="仿宋" w:cs="Times New Roman"/>
          <w:spacing w:val="-2"/>
          <w:kern w:val="2"/>
          <w:sz w:val="32"/>
          <w:szCs w:val="32"/>
          <w:lang w:val="en-US" w:eastAsia="zh-CN" w:bidi="ar-SA"/>
        </w:rPr>
        <w:t>0.5</w:t>
      </w:r>
      <w:r>
        <w:rPr>
          <w:rFonts w:hint="eastAsia" w:ascii="仿宋" w:hAnsi="仿宋" w:eastAsia="仿宋" w:cs="Times New Roman"/>
          <w:spacing w:val="-2"/>
          <w:kern w:val="2"/>
          <w:sz w:val="32"/>
          <w:szCs w:val="32"/>
          <w:lang w:val="en-US" w:eastAsia="zh-CN" w:bidi="ar-SA"/>
        </w:rPr>
        <w:t>万元、工会经费</w:t>
      </w:r>
      <w:r>
        <w:rPr>
          <w:rFonts w:hint="default" w:ascii="仿宋" w:hAnsi="仿宋" w:eastAsia="仿宋" w:cs="Times New Roman"/>
          <w:spacing w:val="-2"/>
          <w:kern w:val="2"/>
          <w:sz w:val="32"/>
          <w:szCs w:val="32"/>
          <w:lang w:val="en-US" w:eastAsia="zh-CN" w:bidi="ar-SA"/>
        </w:rPr>
        <w:t>3.89</w:t>
      </w:r>
      <w:r>
        <w:rPr>
          <w:rFonts w:hint="eastAsia" w:ascii="仿宋" w:hAnsi="仿宋" w:eastAsia="仿宋" w:cs="Times New Roman"/>
          <w:spacing w:val="-2"/>
          <w:kern w:val="2"/>
          <w:sz w:val="32"/>
          <w:szCs w:val="32"/>
          <w:lang w:val="en-US" w:eastAsia="zh-CN" w:bidi="ar-SA"/>
        </w:rPr>
        <w:t>万元、福利费</w:t>
      </w:r>
      <w:r>
        <w:rPr>
          <w:rFonts w:hint="default" w:ascii="仿宋" w:hAnsi="仿宋" w:eastAsia="仿宋" w:cs="Times New Roman"/>
          <w:spacing w:val="-2"/>
          <w:kern w:val="2"/>
          <w:sz w:val="32"/>
          <w:szCs w:val="32"/>
          <w:lang w:val="en-US" w:eastAsia="zh-CN" w:bidi="ar-SA"/>
        </w:rPr>
        <w:t>1.37</w:t>
      </w:r>
      <w:r>
        <w:rPr>
          <w:rFonts w:hint="eastAsia" w:ascii="仿宋" w:hAnsi="仿宋" w:eastAsia="仿宋" w:cs="Times New Roman"/>
          <w:spacing w:val="-2"/>
          <w:kern w:val="2"/>
          <w:sz w:val="32"/>
          <w:szCs w:val="32"/>
          <w:lang w:val="en-US" w:eastAsia="zh-CN" w:bidi="ar-SA"/>
        </w:rPr>
        <w:t>万元、 其他对个人和家庭的补助</w:t>
      </w:r>
      <w:r>
        <w:rPr>
          <w:rFonts w:hint="default" w:ascii="仿宋" w:hAnsi="仿宋" w:eastAsia="仿宋" w:cs="Times New Roman"/>
          <w:spacing w:val="-2"/>
          <w:kern w:val="2"/>
          <w:sz w:val="32"/>
          <w:szCs w:val="32"/>
          <w:lang w:val="en-US" w:eastAsia="zh-CN" w:bidi="ar-SA"/>
        </w:rPr>
        <w:t>1.65</w:t>
      </w:r>
      <w:r>
        <w:rPr>
          <w:rFonts w:hint="eastAsia" w:ascii="仿宋" w:hAnsi="仿宋" w:eastAsia="仿宋" w:cs="Times New Roman"/>
          <w:spacing w:val="-2"/>
          <w:kern w:val="2"/>
          <w:sz w:val="32"/>
          <w:szCs w:val="32"/>
          <w:lang w:val="en-US" w:eastAsia="zh-CN" w:bidi="ar-SA"/>
        </w:rPr>
        <w:t>万元、其他社会保障缴费</w:t>
      </w:r>
      <w:r>
        <w:rPr>
          <w:rFonts w:hint="default" w:ascii="仿宋" w:hAnsi="仿宋" w:eastAsia="仿宋" w:cs="Times New Roman"/>
          <w:spacing w:val="-2"/>
          <w:kern w:val="2"/>
          <w:sz w:val="32"/>
          <w:szCs w:val="32"/>
          <w:lang w:val="en-US" w:eastAsia="zh-CN" w:bidi="ar-SA"/>
        </w:rPr>
        <w:t>3.65</w:t>
      </w:r>
      <w:r>
        <w:rPr>
          <w:rFonts w:hint="eastAsia" w:ascii="仿宋" w:hAnsi="仿宋" w:eastAsia="仿宋" w:cs="Times New Roman"/>
          <w:spacing w:val="-2"/>
          <w:kern w:val="2"/>
          <w:sz w:val="32"/>
          <w:szCs w:val="32"/>
          <w:lang w:val="en-US" w:eastAsia="zh-CN" w:bidi="ar-SA"/>
        </w:rPr>
        <w:t>万元、伙食补助费</w:t>
      </w:r>
      <w:r>
        <w:rPr>
          <w:rFonts w:hint="default" w:ascii="仿宋" w:hAnsi="仿宋" w:eastAsia="仿宋" w:cs="Times New Roman"/>
          <w:spacing w:val="-2"/>
          <w:kern w:val="2"/>
          <w:sz w:val="32"/>
          <w:szCs w:val="32"/>
          <w:lang w:val="en-US" w:eastAsia="zh-CN" w:bidi="ar-SA"/>
        </w:rPr>
        <w:t>4.28</w:t>
      </w:r>
      <w:r>
        <w:rPr>
          <w:rFonts w:hint="eastAsia" w:ascii="仿宋" w:hAnsi="仿宋" w:eastAsia="仿宋" w:cs="Times New Roman"/>
          <w:spacing w:val="-2"/>
          <w:kern w:val="2"/>
          <w:sz w:val="32"/>
          <w:szCs w:val="32"/>
          <w:lang w:val="en-US" w:eastAsia="zh-CN" w:bidi="ar-SA"/>
        </w:rPr>
        <w:t>万元、奖金</w:t>
      </w:r>
      <w:r>
        <w:rPr>
          <w:rFonts w:hint="default" w:ascii="仿宋" w:hAnsi="仿宋" w:eastAsia="仿宋" w:cs="Times New Roman"/>
          <w:spacing w:val="-2"/>
          <w:kern w:val="2"/>
          <w:sz w:val="32"/>
          <w:szCs w:val="32"/>
          <w:lang w:val="en-US" w:eastAsia="zh-CN" w:bidi="ar-SA"/>
        </w:rPr>
        <w:t>1.35</w:t>
      </w:r>
      <w:r>
        <w:rPr>
          <w:rFonts w:hint="eastAsia" w:ascii="仿宋" w:hAnsi="仿宋" w:eastAsia="仿宋" w:cs="Times New Roman"/>
          <w:spacing w:val="-2"/>
          <w:kern w:val="2"/>
          <w:sz w:val="32"/>
          <w:szCs w:val="32"/>
          <w:lang w:val="en-US" w:eastAsia="zh-CN" w:bidi="ar-SA"/>
        </w:rPr>
        <w:t>万元。</w:t>
      </w:r>
    </w:p>
    <w:p w14:paraId="4692B57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2、2023年部门决算情况</w:t>
      </w:r>
    </w:p>
    <w:p w14:paraId="3037EC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2023年度决算总收入190.57万元。2023年度决算总支出190.57万元，其中：其中：基本支出127.39万元，占总支出的66.85%；项目支出63.18万元，占总支出的33.15%。</w:t>
      </w:r>
    </w:p>
    <w:p w14:paraId="06CFCD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default" w:ascii="仿宋" w:hAnsi="仿宋" w:eastAsia="仿宋" w:cs="Times New Roman"/>
          <w:spacing w:val="-2"/>
          <w:kern w:val="2"/>
          <w:sz w:val="32"/>
          <w:szCs w:val="32"/>
          <w:lang w:val="en-US" w:eastAsia="zh-CN" w:bidi="ar-SA"/>
        </w:rPr>
        <w:t>（二）部门预算执行情况</w:t>
      </w:r>
    </w:p>
    <w:p w14:paraId="517A4C5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default" w:ascii="仿宋" w:hAnsi="仿宋" w:eastAsia="仿宋" w:cs="Times New Roman"/>
          <w:spacing w:val="-2"/>
          <w:kern w:val="2"/>
          <w:sz w:val="32"/>
          <w:szCs w:val="32"/>
          <w:lang w:val="en-US" w:eastAsia="zh-CN" w:bidi="ar-SA"/>
        </w:rPr>
        <w:t>1.</w:t>
      </w:r>
      <w:r>
        <w:rPr>
          <w:rFonts w:hint="eastAsia" w:ascii="仿宋" w:hAnsi="仿宋" w:eastAsia="仿宋" w:cs="Times New Roman"/>
          <w:spacing w:val="-2"/>
          <w:kern w:val="2"/>
          <w:sz w:val="32"/>
          <w:szCs w:val="32"/>
          <w:lang w:val="en-US" w:eastAsia="zh-CN" w:bidi="ar-SA"/>
        </w:rPr>
        <w:t>基本支出情况</w:t>
      </w:r>
      <w:bookmarkStart w:id="0" w:name="_GoBack"/>
      <w:bookmarkEnd w:id="0"/>
    </w:p>
    <w:p w14:paraId="59EE19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 w:eastAsia="zh-CN" w:bidi="ar-SA"/>
        </w:rPr>
        <w:t>20</w:t>
      </w:r>
      <w:r>
        <w:rPr>
          <w:rFonts w:hint="eastAsia" w:ascii="仿宋" w:hAnsi="仿宋" w:eastAsia="仿宋" w:cs="Times New Roman"/>
          <w:spacing w:val="-2"/>
          <w:kern w:val="2"/>
          <w:sz w:val="32"/>
          <w:szCs w:val="32"/>
          <w:lang w:val="en-US" w:eastAsia="zh-CN" w:bidi="ar-SA"/>
        </w:rPr>
        <w:t>23</w:t>
      </w:r>
      <w:r>
        <w:rPr>
          <w:rFonts w:hint="eastAsia" w:ascii="仿宋" w:hAnsi="仿宋" w:eastAsia="仿宋" w:cs="Times New Roman"/>
          <w:spacing w:val="-2"/>
          <w:kern w:val="2"/>
          <w:sz w:val="32"/>
          <w:szCs w:val="32"/>
          <w:lang w:val="en" w:eastAsia="zh-CN" w:bidi="ar-SA"/>
        </w:rPr>
        <w:t>年基本支出</w:t>
      </w:r>
      <w:r>
        <w:rPr>
          <w:rFonts w:hint="eastAsia" w:ascii="仿宋" w:hAnsi="仿宋" w:eastAsia="仿宋" w:cs="Times New Roman"/>
          <w:spacing w:val="-2"/>
          <w:kern w:val="2"/>
          <w:sz w:val="32"/>
          <w:szCs w:val="32"/>
          <w:lang w:val="en-US" w:eastAsia="zh-CN" w:bidi="ar-SA"/>
        </w:rPr>
        <w:t>127.39</w:t>
      </w:r>
      <w:r>
        <w:rPr>
          <w:rFonts w:hint="eastAsia" w:ascii="仿宋" w:hAnsi="仿宋" w:eastAsia="仿宋" w:cs="Times New Roman"/>
          <w:spacing w:val="-2"/>
          <w:kern w:val="2"/>
          <w:sz w:val="32"/>
          <w:szCs w:val="32"/>
          <w:lang w:val="en" w:eastAsia="zh-CN" w:bidi="ar-SA"/>
        </w:rPr>
        <w:t>万元，</w:t>
      </w:r>
      <w:r>
        <w:rPr>
          <w:rFonts w:hint="eastAsia" w:ascii="仿宋" w:hAnsi="仿宋" w:eastAsia="仿宋" w:cs="Times New Roman"/>
          <w:spacing w:val="-2"/>
          <w:kern w:val="2"/>
          <w:sz w:val="32"/>
          <w:szCs w:val="32"/>
          <w:lang w:val="en-US" w:eastAsia="zh-CN" w:bidi="ar-SA"/>
        </w:rPr>
        <w:t>主要保障我单位正常运转、完成日常工作任务而发生的人员经费和日常公用经费。</w:t>
      </w:r>
      <w:r>
        <w:rPr>
          <w:rFonts w:hint="eastAsia" w:ascii="仿宋" w:hAnsi="仿宋" w:eastAsia="仿宋" w:cs="Times New Roman"/>
          <w:spacing w:val="-2"/>
          <w:kern w:val="2"/>
          <w:sz w:val="32"/>
          <w:szCs w:val="32"/>
          <w:lang w:val="en" w:eastAsia="zh-CN" w:bidi="ar-SA"/>
        </w:rPr>
        <w:t>其中：工资福利支出</w:t>
      </w:r>
      <w:r>
        <w:rPr>
          <w:rFonts w:hint="eastAsia" w:ascii="仿宋" w:hAnsi="仿宋" w:eastAsia="仿宋" w:cs="Times New Roman"/>
          <w:spacing w:val="-2"/>
          <w:kern w:val="2"/>
          <w:sz w:val="32"/>
          <w:szCs w:val="32"/>
          <w:lang w:val="en-US" w:eastAsia="zh-CN" w:bidi="ar-SA"/>
        </w:rPr>
        <w:t>120.19</w:t>
      </w:r>
      <w:r>
        <w:rPr>
          <w:rFonts w:hint="eastAsia" w:ascii="仿宋" w:hAnsi="仿宋" w:eastAsia="仿宋" w:cs="Times New Roman"/>
          <w:spacing w:val="-2"/>
          <w:kern w:val="2"/>
          <w:sz w:val="32"/>
          <w:szCs w:val="32"/>
          <w:lang w:val="en" w:eastAsia="zh-CN" w:bidi="ar-SA"/>
        </w:rPr>
        <w:t>万元，商品和服务支出</w:t>
      </w:r>
      <w:r>
        <w:rPr>
          <w:rFonts w:hint="eastAsia" w:ascii="仿宋" w:hAnsi="仿宋" w:eastAsia="仿宋" w:cs="Times New Roman"/>
          <w:spacing w:val="-2"/>
          <w:kern w:val="2"/>
          <w:sz w:val="32"/>
          <w:szCs w:val="32"/>
          <w:lang w:val="en-US" w:eastAsia="zh-CN" w:bidi="ar-SA"/>
        </w:rPr>
        <w:t>5.45</w:t>
      </w:r>
      <w:r>
        <w:rPr>
          <w:rFonts w:hint="eastAsia" w:ascii="仿宋" w:hAnsi="仿宋" w:eastAsia="仿宋" w:cs="Times New Roman"/>
          <w:spacing w:val="-2"/>
          <w:kern w:val="2"/>
          <w:sz w:val="32"/>
          <w:szCs w:val="32"/>
          <w:lang w:val="en" w:eastAsia="zh-CN" w:bidi="ar-SA"/>
        </w:rPr>
        <w:t>万元，对个人和家庭的补助支出</w:t>
      </w:r>
      <w:r>
        <w:rPr>
          <w:rFonts w:hint="eastAsia" w:ascii="仿宋" w:hAnsi="仿宋" w:eastAsia="仿宋" w:cs="Times New Roman"/>
          <w:spacing w:val="-2"/>
          <w:kern w:val="2"/>
          <w:sz w:val="32"/>
          <w:szCs w:val="32"/>
          <w:lang w:val="en-US" w:eastAsia="zh-CN" w:bidi="ar-SA"/>
        </w:rPr>
        <w:t>1.75</w:t>
      </w:r>
      <w:r>
        <w:rPr>
          <w:rFonts w:hint="eastAsia" w:ascii="仿宋" w:hAnsi="仿宋" w:eastAsia="仿宋" w:cs="Times New Roman"/>
          <w:spacing w:val="-2"/>
          <w:kern w:val="2"/>
          <w:sz w:val="32"/>
          <w:szCs w:val="32"/>
          <w:lang w:val="en" w:eastAsia="zh-CN" w:bidi="ar-SA"/>
        </w:rPr>
        <w:t>万元。</w:t>
      </w:r>
      <w:r>
        <w:rPr>
          <w:rFonts w:hint="eastAsia" w:ascii="仿宋" w:hAnsi="仿宋" w:eastAsia="仿宋" w:cs="Times New Roman"/>
          <w:spacing w:val="-2"/>
          <w:kern w:val="2"/>
          <w:sz w:val="32"/>
          <w:szCs w:val="32"/>
          <w:lang w:val="en-US" w:eastAsia="zh-CN" w:bidi="ar-SA"/>
        </w:rPr>
        <w:t>较上年相比减少58.73万元，主要是2023年度怀化市地震局人员减少，相关经费减少。</w:t>
      </w:r>
    </w:p>
    <w:p w14:paraId="4FE2F79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2.项目支出情况</w:t>
      </w:r>
    </w:p>
    <w:p w14:paraId="5A7143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2023年财政共下达项目资金63.18万元，主要用于农村民居防震保安与群策群防专项经费20.18万元、怀化市地震台运行经费14.53万元、测试业务费及防震减灾专项经费3万元、2023年地震事务专项资金20.97万元、追加2023年运行经费4.5万元。较上年相比减少78.39万元，主要是2022年度本单位收怀化市地震台项目建设经费金额较大。</w:t>
      </w:r>
    </w:p>
    <w:p w14:paraId="3F258B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（三）</w:t>
      </w:r>
      <w:r>
        <w:rPr>
          <w:rFonts w:hint="default" w:ascii="仿宋" w:hAnsi="仿宋" w:eastAsia="仿宋" w:cs="Times New Roman"/>
          <w:spacing w:val="-2"/>
          <w:kern w:val="2"/>
          <w:sz w:val="32"/>
          <w:szCs w:val="32"/>
          <w:lang w:val="en-US" w:eastAsia="zh-CN" w:bidi="ar-SA"/>
        </w:rPr>
        <w:t>"三公"经费使用和管理情况</w:t>
      </w:r>
    </w:p>
    <w:p w14:paraId="5246818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 w:eastAsia="zh-CN" w:bidi="ar-SA"/>
        </w:rPr>
      </w:pPr>
      <w:r>
        <w:rPr>
          <w:rFonts w:hint="eastAsia" w:ascii="仿宋" w:hAnsi="仿宋" w:eastAsia="仿宋" w:cs="Times New Roman"/>
          <w:spacing w:val="-2"/>
          <w:kern w:val="2"/>
          <w:sz w:val="32"/>
          <w:szCs w:val="32"/>
          <w:lang w:val="en" w:eastAsia="zh-CN" w:bidi="ar-SA"/>
        </w:rPr>
        <w:t>202</w:t>
      </w:r>
      <w:r>
        <w:rPr>
          <w:rFonts w:hint="eastAsia" w:ascii="仿宋" w:hAnsi="仿宋" w:eastAsia="仿宋" w:cs="Times New Roman"/>
          <w:spacing w:val="-2"/>
          <w:kern w:val="2"/>
          <w:sz w:val="32"/>
          <w:szCs w:val="32"/>
          <w:lang w:val="en-US" w:eastAsia="zh-CN" w:bidi="ar-SA"/>
        </w:rPr>
        <w:t>3</w:t>
      </w:r>
      <w:r>
        <w:rPr>
          <w:rFonts w:hint="eastAsia" w:ascii="仿宋" w:hAnsi="仿宋" w:eastAsia="仿宋" w:cs="Times New Roman"/>
          <w:spacing w:val="-2"/>
          <w:kern w:val="2"/>
          <w:sz w:val="32"/>
          <w:szCs w:val="32"/>
          <w:lang w:val="en" w:eastAsia="zh-CN" w:bidi="ar-SA"/>
        </w:rPr>
        <w:t>年三公经费预算支出</w:t>
      </w:r>
      <w:r>
        <w:rPr>
          <w:rFonts w:hint="eastAsia" w:ascii="仿宋" w:hAnsi="仿宋" w:eastAsia="仿宋" w:cs="Times New Roman"/>
          <w:spacing w:val="-2"/>
          <w:kern w:val="2"/>
          <w:sz w:val="32"/>
          <w:szCs w:val="32"/>
          <w:lang w:val="en-US" w:eastAsia="zh-CN" w:bidi="ar-SA"/>
        </w:rPr>
        <w:t>2</w:t>
      </w:r>
      <w:r>
        <w:rPr>
          <w:rFonts w:hint="eastAsia" w:ascii="仿宋" w:hAnsi="仿宋" w:eastAsia="仿宋" w:cs="Times New Roman"/>
          <w:spacing w:val="-2"/>
          <w:kern w:val="2"/>
          <w:sz w:val="32"/>
          <w:szCs w:val="32"/>
          <w:lang w:val="en" w:eastAsia="zh-CN" w:bidi="ar-SA"/>
        </w:rPr>
        <w:t>万元，其中，公务接待费</w:t>
      </w:r>
      <w:r>
        <w:rPr>
          <w:rFonts w:hint="eastAsia" w:ascii="仿宋" w:hAnsi="仿宋" w:eastAsia="仿宋" w:cs="Times New Roman"/>
          <w:spacing w:val="-2"/>
          <w:kern w:val="2"/>
          <w:sz w:val="32"/>
          <w:szCs w:val="32"/>
          <w:lang w:val="en-US" w:eastAsia="zh-CN" w:bidi="ar-SA"/>
        </w:rPr>
        <w:t xml:space="preserve"> 1.1</w:t>
      </w:r>
      <w:r>
        <w:rPr>
          <w:rFonts w:hint="default" w:ascii="仿宋" w:hAnsi="仿宋" w:eastAsia="仿宋" w:cs="Times New Roman"/>
          <w:spacing w:val="-2"/>
          <w:kern w:val="2"/>
          <w:sz w:val="32"/>
          <w:szCs w:val="32"/>
          <w:lang w:val="en" w:eastAsia="zh-CN" w:bidi="ar-SA"/>
        </w:rPr>
        <w:t>万元，公务用车购置费0万元，公务用车运行费</w:t>
      </w:r>
      <w:r>
        <w:rPr>
          <w:rFonts w:hint="eastAsia" w:ascii="仿宋" w:hAnsi="仿宋" w:eastAsia="仿宋" w:cs="Times New Roman"/>
          <w:spacing w:val="-2"/>
          <w:kern w:val="2"/>
          <w:sz w:val="32"/>
          <w:szCs w:val="32"/>
          <w:lang w:val="en-US" w:eastAsia="zh-CN" w:bidi="ar-SA"/>
        </w:rPr>
        <w:t>0.9</w:t>
      </w:r>
      <w:r>
        <w:rPr>
          <w:rFonts w:hint="default" w:ascii="仿宋" w:hAnsi="仿宋" w:eastAsia="仿宋" w:cs="Times New Roman"/>
          <w:spacing w:val="-2"/>
          <w:kern w:val="2"/>
          <w:sz w:val="32"/>
          <w:szCs w:val="32"/>
          <w:lang w:val="en" w:eastAsia="zh-CN" w:bidi="ar-SA"/>
        </w:rPr>
        <w:t>万元，因公出国（境）费0万元。</w:t>
      </w:r>
      <w:r>
        <w:rPr>
          <w:rFonts w:hint="eastAsia" w:ascii="仿宋" w:hAnsi="仿宋" w:eastAsia="仿宋" w:cs="Times New Roman"/>
          <w:spacing w:val="-2"/>
          <w:kern w:val="2"/>
          <w:sz w:val="32"/>
          <w:szCs w:val="32"/>
          <w:lang w:val="en-US" w:eastAsia="zh-CN" w:bidi="ar-SA"/>
        </w:rPr>
        <w:t>本年度</w:t>
      </w:r>
      <w:r>
        <w:rPr>
          <w:rFonts w:hint="eastAsia" w:ascii="仿宋" w:hAnsi="仿宋" w:eastAsia="仿宋" w:cs="Times New Roman"/>
          <w:spacing w:val="-2"/>
          <w:kern w:val="2"/>
          <w:sz w:val="32"/>
          <w:szCs w:val="32"/>
          <w:lang w:val="en" w:eastAsia="zh-CN" w:bidi="ar-SA"/>
        </w:rPr>
        <w:t>“三公”经费支出</w:t>
      </w:r>
      <w:r>
        <w:rPr>
          <w:rFonts w:hint="eastAsia" w:ascii="仿宋" w:hAnsi="仿宋" w:eastAsia="仿宋" w:cs="Times New Roman"/>
          <w:spacing w:val="-2"/>
          <w:kern w:val="2"/>
          <w:sz w:val="32"/>
          <w:szCs w:val="32"/>
          <w:lang w:val="en-US" w:eastAsia="zh-CN" w:bidi="ar-SA"/>
        </w:rPr>
        <w:t>1.47</w:t>
      </w:r>
      <w:r>
        <w:rPr>
          <w:rFonts w:hint="eastAsia" w:ascii="仿宋" w:hAnsi="仿宋" w:eastAsia="仿宋" w:cs="Times New Roman"/>
          <w:spacing w:val="-2"/>
          <w:kern w:val="2"/>
          <w:sz w:val="32"/>
          <w:szCs w:val="32"/>
          <w:lang w:val="en" w:eastAsia="zh-CN" w:bidi="ar-SA"/>
        </w:rPr>
        <w:t>万元，</w:t>
      </w:r>
      <w:r>
        <w:rPr>
          <w:rFonts w:hint="eastAsia" w:ascii="仿宋" w:hAnsi="仿宋" w:eastAsia="仿宋" w:cs="Times New Roman"/>
          <w:spacing w:val="-2"/>
          <w:kern w:val="2"/>
          <w:sz w:val="32"/>
          <w:szCs w:val="32"/>
          <w:lang w:val="en-US" w:eastAsia="zh-CN" w:bidi="ar-SA"/>
        </w:rPr>
        <w:t>其中：公务用车购置费0万元，公务用车运行维护费0.84万元，公务接待费0.63万元</w:t>
      </w:r>
      <w:r>
        <w:rPr>
          <w:rFonts w:hint="eastAsia" w:ascii="仿宋" w:hAnsi="仿宋" w:eastAsia="仿宋" w:cs="Times New Roman"/>
          <w:spacing w:val="-2"/>
          <w:kern w:val="2"/>
          <w:sz w:val="32"/>
          <w:szCs w:val="32"/>
          <w:lang w:val="en" w:eastAsia="zh-CN" w:bidi="ar-SA"/>
        </w:rPr>
        <w:t>。结余</w:t>
      </w:r>
      <w:r>
        <w:rPr>
          <w:rFonts w:hint="eastAsia" w:ascii="仿宋" w:hAnsi="仿宋" w:eastAsia="仿宋" w:cs="Times New Roman"/>
          <w:spacing w:val="-2"/>
          <w:kern w:val="2"/>
          <w:sz w:val="32"/>
          <w:szCs w:val="32"/>
          <w:lang w:val="en-US" w:eastAsia="zh-CN" w:bidi="ar-SA"/>
        </w:rPr>
        <w:t>是0.53</w:t>
      </w:r>
      <w:r>
        <w:rPr>
          <w:rFonts w:hint="eastAsia" w:ascii="仿宋" w:hAnsi="仿宋" w:eastAsia="仿宋" w:cs="Times New Roman"/>
          <w:spacing w:val="-2"/>
          <w:kern w:val="2"/>
          <w:sz w:val="32"/>
          <w:szCs w:val="32"/>
          <w:lang w:val="en" w:eastAsia="zh-CN" w:bidi="ar-SA"/>
        </w:rPr>
        <w:t>万元，三公经费总额控制在预算范围内。</w:t>
      </w:r>
    </w:p>
    <w:p w14:paraId="525100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我局严格按照市财政局批复后的预算，根据政策规定的范围、标准和口径要求，实事求是地填报资金使用计划申请，按照财政部门审核批复的意见，严格执行三公经费的使用，控制在预算范围内。</w:t>
      </w:r>
    </w:p>
    <w:p w14:paraId="415717DC">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政府性基金预算支出情况</w:t>
      </w:r>
    </w:p>
    <w:p w14:paraId="162A33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2023年度本单位无政府性基金预算支出</w:t>
      </w:r>
    </w:p>
    <w:p w14:paraId="634E9918">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14:paraId="43450D1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32" w:firstLineChars="200"/>
        <w:textAlignment w:val="auto"/>
        <w:rPr>
          <w:rFonts w:hint="eastAsia" w:ascii="仿宋" w:hAnsi="仿宋" w:eastAsia="仿宋" w:cs="Times New Roman"/>
          <w:spacing w:val="-2"/>
          <w:kern w:val="2"/>
          <w:sz w:val="32"/>
          <w:szCs w:val="32"/>
          <w:lang w:val="en" w:eastAsia="zh-CN" w:bidi="ar-SA"/>
        </w:rPr>
      </w:pPr>
      <w:r>
        <w:rPr>
          <w:rFonts w:hint="eastAsia" w:ascii="仿宋" w:hAnsi="仿宋" w:eastAsia="仿宋" w:cs="Times New Roman"/>
          <w:spacing w:val="-2"/>
          <w:kern w:val="2"/>
          <w:sz w:val="32"/>
          <w:szCs w:val="32"/>
          <w:lang w:val="en-US" w:eastAsia="zh-CN" w:bidi="ar-SA"/>
        </w:rPr>
        <w:t>2023年度本单位无国有资本经营预算支出</w:t>
      </w:r>
    </w:p>
    <w:p w14:paraId="68E41549">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14:paraId="744D48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 w:eastAsia="zh-CN" w:bidi="ar-SA"/>
        </w:rPr>
      </w:pPr>
      <w:r>
        <w:rPr>
          <w:rFonts w:hint="eastAsia" w:ascii="仿宋" w:hAnsi="仿宋" w:eastAsia="仿宋" w:cs="Times New Roman"/>
          <w:spacing w:val="-2"/>
          <w:kern w:val="2"/>
          <w:sz w:val="32"/>
          <w:szCs w:val="32"/>
          <w:lang w:val="en-US" w:eastAsia="zh-CN" w:bidi="ar-SA"/>
        </w:rPr>
        <w:t>2023年度本单位无社会保险基金预算支出</w:t>
      </w:r>
    </w:p>
    <w:p w14:paraId="71BBBD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0C7336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14:paraId="4EB8183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结合部门预算申报与绩效目标和实际完成情况对比分析，反映出部分科室对绩效目标管理工作重要性认识还是存在不足之处。根据局各部门开展的自评情况，2023年度我局较好的按照年初设定的各项绩效目标执行，并且发生各项费用按照预算的执行制度执行，评价结果为优，综合得分为98分。</w:t>
      </w:r>
    </w:p>
    <w:p w14:paraId="62C51712">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评价指标分析（或综合评价情况）。</w:t>
      </w:r>
    </w:p>
    <w:p w14:paraId="65EE9AA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1.综合评价分析</w:t>
      </w:r>
    </w:p>
    <w:p w14:paraId="4C6A69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绩效目标设定方面：我局严格按照绩效目标制定的相关规定，</w:t>
      </w:r>
      <w:r>
        <w:rPr>
          <w:rFonts w:hint="default" w:ascii="仿宋" w:hAnsi="仿宋" w:eastAsia="仿宋" w:cs="Times New Roman"/>
          <w:spacing w:val="-2"/>
          <w:kern w:val="2"/>
          <w:sz w:val="32"/>
          <w:szCs w:val="32"/>
          <w:lang w:val="en-US" w:eastAsia="zh-CN" w:bidi="ar-SA"/>
        </w:rPr>
        <w:t>围绕部门职责、行业发展规划</w:t>
      </w:r>
      <w:r>
        <w:rPr>
          <w:rFonts w:hint="eastAsia" w:ascii="仿宋" w:hAnsi="仿宋" w:eastAsia="仿宋" w:cs="Times New Roman"/>
          <w:spacing w:val="-2"/>
          <w:kern w:val="2"/>
          <w:sz w:val="32"/>
          <w:szCs w:val="32"/>
          <w:lang w:val="en-US" w:eastAsia="zh-CN" w:bidi="ar-SA"/>
        </w:rPr>
        <w:t>，完整、合理地制定整体绩效目标，绩效指标基本做到细化量化。</w:t>
      </w:r>
    </w:p>
    <w:p w14:paraId="7552B1D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预算配置方面：我局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271FCD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default" w:ascii="仿宋" w:hAnsi="仿宋" w:eastAsia="仿宋" w:cs="Times New Roman"/>
          <w:spacing w:val="-2"/>
          <w:kern w:val="2"/>
          <w:sz w:val="32"/>
          <w:szCs w:val="32"/>
          <w:lang w:val="en-US" w:eastAsia="zh-CN" w:bidi="ar-SA"/>
        </w:rPr>
        <w:t>预算执行</w:t>
      </w:r>
      <w:r>
        <w:rPr>
          <w:rFonts w:hint="eastAsia" w:ascii="仿宋" w:hAnsi="仿宋" w:eastAsia="仿宋" w:cs="Times New Roman"/>
          <w:spacing w:val="-2"/>
          <w:kern w:val="2"/>
          <w:sz w:val="32"/>
          <w:szCs w:val="32"/>
          <w:lang w:val="en-US" w:eastAsia="zh-CN" w:bidi="ar-SA"/>
        </w:rPr>
        <w:t>方面：严格执行批复的各项支出预算，不擅自扩大支出范围、提高开支标准，严格按照预算批复的支出用途使用资金。采取有效措施，加快预算执行进度，全年预算执行率达到100%。</w:t>
      </w:r>
    </w:p>
    <w:p w14:paraId="416BB5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default" w:ascii="仿宋" w:hAnsi="仿宋" w:eastAsia="仿宋" w:cs="Times New Roman"/>
          <w:spacing w:val="-2"/>
          <w:kern w:val="2"/>
          <w:sz w:val="32"/>
          <w:szCs w:val="32"/>
          <w:lang w:val="en-US" w:eastAsia="zh-CN" w:bidi="ar-SA"/>
        </w:rPr>
        <w:t>预算管理</w:t>
      </w:r>
      <w:r>
        <w:rPr>
          <w:rFonts w:hint="eastAsia" w:ascii="仿宋" w:hAnsi="仿宋" w:eastAsia="仿宋" w:cs="Times New Roman"/>
          <w:spacing w:val="-2"/>
          <w:kern w:val="2"/>
          <w:sz w:val="32"/>
          <w:szCs w:val="32"/>
          <w:lang w:val="en-US" w:eastAsia="zh-CN" w:bidi="ar-SA"/>
        </w:rPr>
        <w:t>方面：我局按照预算法要求进行“一上”申报，在“一下”的基础上进行修改进行“二上”申报，形成以单位领导支持、财务部门牵头、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57086CF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default" w:ascii="仿宋" w:hAnsi="仿宋" w:eastAsia="仿宋" w:cs="Times New Roman"/>
          <w:spacing w:val="-2"/>
          <w:kern w:val="2"/>
          <w:sz w:val="32"/>
          <w:szCs w:val="32"/>
          <w:lang w:val="en-US" w:eastAsia="zh-CN" w:bidi="ar-SA"/>
        </w:rPr>
        <w:t>资产管理</w:t>
      </w:r>
      <w:r>
        <w:rPr>
          <w:rFonts w:hint="eastAsia" w:ascii="仿宋" w:hAnsi="仿宋" w:eastAsia="仿宋" w:cs="Times New Roman"/>
          <w:spacing w:val="-2"/>
          <w:kern w:val="2"/>
          <w:sz w:val="32"/>
          <w:szCs w:val="32"/>
          <w:lang w:val="en-US" w:eastAsia="zh-CN" w:bidi="ar-SA"/>
        </w:rPr>
        <w:t>方面：我局严格执行资产配置、使用、处置管理办法，做到购置有预算，实物有专人管理，处置按流程，定期盘点清理资产，掌握固定资产的使用情况，确保设备完好提高利用率。资产账务管理合规、账实相符、处置规范。</w:t>
      </w:r>
    </w:p>
    <w:p w14:paraId="0B20813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default" w:ascii="仿宋" w:hAnsi="仿宋" w:eastAsia="仿宋" w:cs="Times New Roman"/>
          <w:spacing w:val="-2"/>
          <w:kern w:val="2"/>
          <w:sz w:val="32"/>
          <w:szCs w:val="32"/>
          <w:lang w:val="en-US" w:eastAsia="zh-CN" w:bidi="ar-SA"/>
        </w:rPr>
        <w:t>职责履行</w:t>
      </w:r>
      <w:r>
        <w:rPr>
          <w:rFonts w:hint="eastAsia" w:ascii="仿宋" w:hAnsi="仿宋" w:eastAsia="仿宋" w:cs="Times New Roman"/>
          <w:spacing w:val="-2"/>
          <w:kern w:val="2"/>
          <w:sz w:val="32"/>
          <w:szCs w:val="32"/>
          <w:lang w:val="en-US" w:eastAsia="zh-CN" w:bidi="ar-SA"/>
        </w:rPr>
        <w:t>方面：我局2023年严格落实各项工作，按照市局下达的任务及本单位的目标任务，积极推进了各项工作平稳、有序的开展。</w:t>
      </w:r>
    </w:p>
    <w:p w14:paraId="00A03C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2.目标完成情况及</w:t>
      </w:r>
      <w:r>
        <w:rPr>
          <w:rFonts w:hint="default" w:ascii="仿宋" w:hAnsi="仿宋" w:eastAsia="仿宋" w:cs="Times New Roman"/>
          <w:spacing w:val="-2"/>
          <w:kern w:val="2"/>
          <w:sz w:val="32"/>
          <w:szCs w:val="32"/>
          <w:lang w:val="en-US" w:eastAsia="zh-CN" w:bidi="ar-SA"/>
        </w:rPr>
        <w:t>指标分析</w:t>
      </w:r>
    </w:p>
    <w:p w14:paraId="7336CF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我部门2023年一般公共预算资金总体目标完成较好，具体如下：</w:t>
      </w:r>
    </w:p>
    <w:p w14:paraId="57757F5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目标1：</w:t>
      </w:r>
      <w:r>
        <w:rPr>
          <w:rFonts w:hint="default" w:ascii="仿宋" w:hAnsi="仿宋" w:eastAsia="仿宋" w:cs="Times New Roman"/>
          <w:spacing w:val="-2"/>
          <w:kern w:val="2"/>
          <w:sz w:val="32"/>
          <w:szCs w:val="32"/>
          <w:lang w:val="en-US" w:eastAsia="zh-CN" w:bidi="ar-SA"/>
        </w:rPr>
        <w:t>推进台站和监测设施建设</w:t>
      </w:r>
      <w:r>
        <w:rPr>
          <w:rFonts w:hint="eastAsia" w:ascii="仿宋" w:hAnsi="仿宋" w:eastAsia="仿宋" w:cs="Times New Roman"/>
          <w:spacing w:val="-2"/>
          <w:kern w:val="2"/>
          <w:sz w:val="32"/>
          <w:szCs w:val="32"/>
          <w:lang w:val="en-US" w:eastAsia="zh-CN" w:bidi="ar-SA"/>
        </w:rPr>
        <w:t>；</w:t>
      </w:r>
    </w:p>
    <w:p w14:paraId="08125BA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目标2：</w:t>
      </w:r>
      <w:r>
        <w:rPr>
          <w:rFonts w:hint="default" w:ascii="仿宋" w:hAnsi="仿宋" w:eastAsia="仿宋" w:cs="Times New Roman"/>
          <w:spacing w:val="-2"/>
          <w:kern w:val="2"/>
          <w:sz w:val="32"/>
          <w:szCs w:val="32"/>
          <w:lang w:val="en-US" w:eastAsia="zh-CN" w:bidi="ar-SA"/>
        </w:rPr>
        <w:t>强化台站运维和监测业务能力</w:t>
      </w:r>
      <w:r>
        <w:rPr>
          <w:rFonts w:hint="eastAsia" w:ascii="仿宋" w:hAnsi="仿宋" w:eastAsia="仿宋" w:cs="Times New Roman"/>
          <w:spacing w:val="-2"/>
          <w:kern w:val="2"/>
          <w:sz w:val="32"/>
          <w:szCs w:val="32"/>
          <w:lang w:val="en-US" w:eastAsia="zh-CN" w:bidi="ar-SA"/>
        </w:rPr>
        <w:t>；</w:t>
      </w:r>
    </w:p>
    <w:p w14:paraId="43C23B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目标3：</w:t>
      </w:r>
      <w:r>
        <w:rPr>
          <w:rFonts w:hint="default" w:ascii="仿宋" w:hAnsi="仿宋" w:eastAsia="仿宋" w:cs="Times New Roman"/>
          <w:spacing w:val="-2"/>
          <w:kern w:val="2"/>
          <w:sz w:val="32"/>
          <w:szCs w:val="32"/>
          <w:lang w:val="en-US" w:eastAsia="zh-CN" w:bidi="ar-SA"/>
        </w:rPr>
        <w:t>群测群防体系稳定运行</w:t>
      </w:r>
      <w:r>
        <w:rPr>
          <w:rFonts w:hint="eastAsia" w:ascii="仿宋" w:hAnsi="仿宋" w:eastAsia="仿宋" w:cs="Times New Roman"/>
          <w:spacing w:val="-2"/>
          <w:kern w:val="2"/>
          <w:sz w:val="32"/>
          <w:szCs w:val="32"/>
          <w:lang w:val="en-US" w:eastAsia="zh-CN" w:bidi="ar-SA"/>
        </w:rPr>
        <w:t>；</w:t>
      </w:r>
    </w:p>
    <w:p w14:paraId="4394F59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目标4：</w:t>
      </w:r>
      <w:r>
        <w:rPr>
          <w:rFonts w:hint="default" w:ascii="仿宋" w:hAnsi="仿宋" w:eastAsia="仿宋" w:cs="Times New Roman"/>
          <w:spacing w:val="-2"/>
          <w:kern w:val="2"/>
          <w:sz w:val="32"/>
          <w:szCs w:val="32"/>
          <w:lang w:val="en-US" w:eastAsia="zh-CN" w:bidi="ar-SA"/>
        </w:rPr>
        <w:t>扎实开展防震减灾科普宣传。在5.12防灾减灾日前后一周时间里持续在市电视台、市政府大厅、户外广告屏、公交车等处滚动播放一系列防震减灾科普宣传片，并通过各地“村村响”广播《农村如何防范地震灾害》，把防震减灾科普宣传覆盖到了全市各城镇和乡村。</w:t>
      </w:r>
    </w:p>
    <w:p w14:paraId="7070B7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（1）产出指标分析</w:t>
      </w:r>
    </w:p>
    <w:p w14:paraId="31B0D1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default" w:ascii="仿宋" w:hAnsi="仿宋" w:eastAsia="仿宋" w:cs="Times New Roman"/>
          <w:spacing w:val="-2"/>
          <w:kern w:val="2"/>
          <w:sz w:val="32"/>
          <w:szCs w:val="32"/>
          <w:lang w:val="en-US" w:eastAsia="zh-CN" w:bidi="ar-SA"/>
        </w:rPr>
        <w:t>群测群防体系稳定运行。建成13个市级地震宏观观测点，均安装了全市统一制作的地震宏观观测设施保护及宣传标志牌，续签了管理协议、落实了看护费用（1200元/点/年），建立了宏观观测人员群，开展不定期巡检，对每个观测点日常观测和观测记录本信息填报情况进行检查指导。</w:t>
      </w:r>
      <w:r>
        <w:rPr>
          <w:rFonts w:hint="eastAsia" w:ascii="仿宋" w:hAnsi="仿宋" w:eastAsia="仿宋" w:cs="Times New Roman"/>
          <w:spacing w:val="-2"/>
          <w:kern w:val="2"/>
          <w:sz w:val="32"/>
          <w:szCs w:val="32"/>
          <w:lang w:val="en-US" w:eastAsia="zh-CN" w:bidi="ar-SA"/>
        </w:rPr>
        <w:t>完成年初目标。</w:t>
      </w:r>
    </w:p>
    <w:p w14:paraId="5A4FBF6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（2）效益指标分析</w:t>
      </w:r>
    </w:p>
    <w:p w14:paraId="64B8CDD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 xml:space="preserve"> </w:t>
      </w:r>
      <w:r>
        <w:rPr>
          <w:rFonts w:hint="default" w:ascii="仿宋" w:hAnsi="仿宋" w:eastAsia="仿宋" w:cs="Times New Roman"/>
          <w:spacing w:val="-2"/>
          <w:kern w:val="2"/>
          <w:sz w:val="32"/>
          <w:szCs w:val="32"/>
          <w:lang w:val="en-US" w:eastAsia="zh-CN" w:bidi="ar-SA"/>
        </w:rPr>
        <w:t>加强制度建设。怀化市抗震救灾指挥部出台了由市地局起草的《怀化市抗震救灾指挥部关于进一步健全完善防震减灾救灾体制机制的实施意见》、《怀化市抗震救灾指挥部工作规则》和《怀化市抗震救灾指挥部办公室工作细则》。文件的出台对进一步加强县市区防震减灾机构建设、经费投入和地震应急工作具有重要的推动和保障作用。</w:t>
      </w:r>
      <w:r>
        <w:rPr>
          <w:rFonts w:hint="eastAsia" w:ascii="仿宋" w:hAnsi="仿宋" w:eastAsia="仿宋" w:cs="Times New Roman"/>
          <w:spacing w:val="-2"/>
          <w:kern w:val="2"/>
          <w:sz w:val="32"/>
          <w:szCs w:val="32"/>
          <w:lang w:val="en-US" w:eastAsia="zh-CN" w:bidi="ar-SA"/>
        </w:rPr>
        <w:t>完成年初目标。</w:t>
      </w:r>
    </w:p>
    <w:p w14:paraId="1FDDA0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（3）满意度指标分析</w:t>
      </w:r>
    </w:p>
    <w:p w14:paraId="58F187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社会公众及服务对象满意度95%以上，完成年初目标。</w:t>
      </w:r>
    </w:p>
    <w:p w14:paraId="3D3AD6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317673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default"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一是年初绩效评价指标体系不完善，绩效目标设立不够明确、细化和量化。</w:t>
      </w:r>
    </w:p>
    <w:p w14:paraId="343815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二是部分项目执行与预算支出指标差距较大。部分项目在预算时未能充分预料和考虑到来年的政策变化，导致实际支出与预算有差。</w:t>
      </w:r>
    </w:p>
    <w:p w14:paraId="545DEB08">
      <w:pPr>
        <w:pStyle w:val="7"/>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14:paraId="203A1B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年初绩效目标设立要细化、量化。在布置预算绩效管理工作时，相关负责人要督促各项目负责人从预算编制开始，做好收集、汇总项目各个阶段的痕迹资料，提醒和督促加快资金拨付和使用等工作。</w:t>
      </w:r>
    </w:p>
    <w:p w14:paraId="6E0A1CA4">
      <w:pPr>
        <w:pStyle w:val="7"/>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其他需要说明的情况</w:t>
      </w:r>
    </w:p>
    <w:p w14:paraId="19B6A9F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6" w:afterAutospacing="0" w:line="600" w:lineRule="exact"/>
        <w:ind w:left="0" w:right="0" w:firstLine="632" w:firstLineChars="200"/>
        <w:jc w:val="both"/>
        <w:textAlignment w:val="auto"/>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2023年度本单位无其他说明</w:t>
      </w:r>
    </w:p>
    <w:p w14:paraId="295F19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lang w:val="en-US" w:eastAsia="zh-CN"/>
        </w:rPr>
      </w:pPr>
    </w:p>
    <w:p w14:paraId="3E66C9B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jc w:val="both"/>
        <w:textAlignment w:val="auto"/>
        <w:rPr>
          <w:rFonts w:hint="eastAsia" w:ascii="方正小标宋简体" w:hAnsi="方正小标宋简体" w:eastAsia="方正小标宋简体" w:cs="方正小标宋简体"/>
          <w:color w:val="000000"/>
          <w:kern w:val="0"/>
          <w:sz w:val="36"/>
          <w:szCs w:val="36"/>
          <w:lang w:val="en-US" w:eastAsia="zh-CN"/>
        </w:rPr>
      </w:pPr>
    </w:p>
    <w:p w14:paraId="33A33C3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default"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附件2-1</w:t>
      </w:r>
    </w:p>
    <w:p w14:paraId="59EA4A8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2023年部门整体支出绩效评价基础数据表</w:t>
      </w:r>
    </w:p>
    <w:p w14:paraId="139B125F">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ascii="仿宋" w:hAnsi="仿宋" w:eastAsia="仿宋" w:cs="仿宋"/>
          <w:b w:val="0"/>
          <w:bCs w:val="0"/>
          <w:kern w:val="0"/>
          <w:sz w:val="20"/>
          <w:szCs w:val="20"/>
          <w:lang w:val="en-US" w:eastAsia="zh-CN"/>
        </w:rPr>
        <w:t xml:space="preserve">填报单位： </w:t>
      </w:r>
      <w:r>
        <w:rPr>
          <w:rFonts w:hint="eastAsia" w:ascii="仿宋" w:hAnsi="仿宋" w:eastAsia="仿宋" w:cs="仿宋"/>
          <w:b w:val="0"/>
          <w:bCs w:val="0"/>
          <w:kern w:val="0"/>
          <w:sz w:val="20"/>
          <w:szCs w:val="20"/>
        </w:rPr>
        <w:t>怀化市地震局　</w:t>
      </w:r>
      <w:r>
        <w:rPr>
          <w:rFonts w:hint="eastAsia" w:ascii="仿宋" w:hAnsi="仿宋" w:eastAsia="仿宋" w:cs="仿宋"/>
          <w:b w:val="0"/>
          <w:bCs w:val="0"/>
          <w:kern w:val="0"/>
          <w:sz w:val="20"/>
          <w:szCs w:val="20"/>
          <w:lang w:val="en-US" w:eastAsia="zh-CN"/>
        </w:rPr>
        <w:t xml:space="preserve"> </w:t>
      </w: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2"/>
        <w:gridCol w:w="750"/>
        <w:gridCol w:w="680"/>
        <w:gridCol w:w="1129"/>
        <w:gridCol w:w="1111"/>
        <w:gridCol w:w="969"/>
        <w:gridCol w:w="863"/>
      </w:tblGrid>
      <w:tr w14:paraId="1169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vMerge w:val="restart"/>
            <w:noWrap w:val="0"/>
            <w:vAlign w:val="center"/>
          </w:tcPr>
          <w:p w14:paraId="1E3C03E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1430" w:type="dxa"/>
            <w:gridSpan w:val="2"/>
            <w:noWrap w:val="0"/>
            <w:vAlign w:val="center"/>
          </w:tcPr>
          <w:p w14:paraId="4181917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7AD0F11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7924342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7A0C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962" w:type="dxa"/>
            <w:vMerge w:val="continue"/>
            <w:noWrap w:val="0"/>
            <w:vAlign w:val="center"/>
          </w:tcPr>
          <w:p w14:paraId="6AF4F9CE">
            <w:pPr>
              <w:widowControl/>
              <w:jc w:val="left"/>
              <w:rPr>
                <w:rFonts w:hint="eastAsia" w:ascii="仿宋" w:hAnsi="仿宋" w:eastAsia="仿宋" w:cs="仿宋"/>
                <w:b w:val="0"/>
                <w:bCs w:val="0"/>
                <w:kern w:val="0"/>
                <w:sz w:val="20"/>
                <w:szCs w:val="20"/>
              </w:rPr>
            </w:pPr>
          </w:p>
        </w:tc>
        <w:tc>
          <w:tcPr>
            <w:tcW w:w="1430" w:type="dxa"/>
            <w:gridSpan w:val="2"/>
            <w:noWrap w:val="0"/>
            <w:vAlign w:val="center"/>
          </w:tcPr>
          <w:p w14:paraId="0D83291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12</w:t>
            </w:r>
          </w:p>
        </w:tc>
        <w:tc>
          <w:tcPr>
            <w:tcW w:w="2240" w:type="dxa"/>
            <w:gridSpan w:val="2"/>
            <w:noWrap w:val="0"/>
            <w:vAlign w:val="center"/>
          </w:tcPr>
          <w:p w14:paraId="7B1A4BB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w:t>
            </w:r>
            <w:r>
              <w:rPr>
                <w:rFonts w:hint="eastAsia" w:ascii="仿宋" w:hAnsi="仿宋" w:eastAsia="仿宋" w:cs="仿宋"/>
                <w:b w:val="0"/>
                <w:bCs w:val="0"/>
                <w:kern w:val="0"/>
                <w:sz w:val="20"/>
                <w:szCs w:val="20"/>
              </w:rPr>
              <w:t>　</w:t>
            </w:r>
          </w:p>
        </w:tc>
        <w:tc>
          <w:tcPr>
            <w:tcW w:w="1832" w:type="dxa"/>
            <w:gridSpan w:val="2"/>
            <w:noWrap w:val="0"/>
            <w:vAlign w:val="center"/>
          </w:tcPr>
          <w:p w14:paraId="5BB4A01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67%</w:t>
            </w:r>
          </w:p>
        </w:tc>
      </w:tr>
      <w:tr w14:paraId="34DE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5046FE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1430" w:type="dxa"/>
            <w:gridSpan w:val="2"/>
            <w:noWrap w:val="0"/>
            <w:vAlign w:val="center"/>
          </w:tcPr>
          <w:p w14:paraId="56F587E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14:paraId="183C14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14:paraId="654A5B5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2806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34FEB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1430" w:type="dxa"/>
            <w:gridSpan w:val="2"/>
            <w:noWrap w:val="0"/>
            <w:vAlign w:val="center"/>
          </w:tcPr>
          <w:p w14:paraId="576B599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2.34</w:t>
            </w:r>
            <w:r>
              <w:rPr>
                <w:rFonts w:hint="eastAsia" w:ascii="仿宋" w:hAnsi="仿宋" w:eastAsia="仿宋" w:cs="仿宋"/>
                <w:b w:val="0"/>
                <w:bCs w:val="0"/>
                <w:kern w:val="0"/>
                <w:sz w:val="20"/>
                <w:szCs w:val="20"/>
              </w:rPr>
              <w:t>　</w:t>
            </w:r>
          </w:p>
        </w:tc>
        <w:tc>
          <w:tcPr>
            <w:tcW w:w="2240" w:type="dxa"/>
            <w:gridSpan w:val="2"/>
            <w:noWrap w:val="0"/>
            <w:vAlign w:val="center"/>
          </w:tcPr>
          <w:p w14:paraId="5361642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w:t>
            </w:r>
            <w:r>
              <w:rPr>
                <w:rFonts w:hint="eastAsia" w:ascii="仿宋" w:hAnsi="仿宋" w:eastAsia="仿宋" w:cs="仿宋"/>
                <w:b w:val="0"/>
                <w:bCs w:val="0"/>
                <w:kern w:val="0"/>
                <w:sz w:val="20"/>
                <w:szCs w:val="20"/>
              </w:rPr>
              <w:t>　</w:t>
            </w:r>
          </w:p>
        </w:tc>
        <w:tc>
          <w:tcPr>
            <w:tcW w:w="1832" w:type="dxa"/>
            <w:gridSpan w:val="2"/>
            <w:noWrap w:val="0"/>
            <w:vAlign w:val="center"/>
          </w:tcPr>
          <w:p w14:paraId="35DFBA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1.47</w:t>
            </w:r>
            <w:r>
              <w:rPr>
                <w:rFonts w:hint="eastAsia" w:ascii="仿宋" w:hAnsi="仿宋" w:eastAsia="仿宋" w:cs="仿宋"/>
                <w:b w:val="0"/>
                <w:bCs w:val="0"/>
                <w:kern w:val="0"/>
                <w:sz w:val="20"/>
                <w:szCs w:val="20"/>
              </w:rPr>
              <w:t>　</w:t>
            </w:r>
          </w:p>
        </w:tc>
      </w:tr>
      <w:tr w14:paraId="48E6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0A5E9FE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1430" w:type="dxa"/>
            <w:gridSpan w:val="2"/>
            <w:noWrap w:val="0"/>
            <w:vAlign w:val="center"/>
          </w:tcPr>
          <w:p w14:paraId="5581D6B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1.65</w:t>
            </w:r>
          </w:p>
        </w:tc>
        <w:tc>
          <w:tcPr>
            <w:tcW w:w="2240" w:type="dxa"/>
            <w:gridSpan w:val="2"/>
            <w:noWrap w:val="0"/>
            <w:vAlign w:val="center"/>
          </w:tcPr>
          <w:p w14:paraId="23AF16A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0.9</w:t>
            </w:r>
            <w:r>
              <w:rPr>
                <w:rFonts w:hint="eastAsia" w:ascii="仿宋" w:hAnsi="仿宋" w:eastAsia="仿宋" w:cs="仿宋"/>
                <w:b w:val="0"/>
                <w:bCs w:val="0"/>
                <w:kern w:val="0"/>
                <w:sz w:val="20"/>
                <w:szCs w:val="20"/>
              </w:rPr>
              <w:t>　</w:t>
            </w:r>
          </w:p>
        </w:tc>
        <w:tc>
          <w:tcPr>
            <w:tcW w:w="1832" w:type="dxa"/>
            <w:gridSpan w:val="2"/>
            <w:noWrap w:val="0"/>
            <w:vAlign w:val="center"/>
          </w:tcPr>
          <w:p w14:paraId="35A705A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0.84</w:t>
            </w:r>
          </w:p>
        </w:tc>
      </w:tr>
      <w:tr w14:paraId="4242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962" w:type="dxa"/>
            <w:noWrap w:val="0"/>
            <w:vAlign w:val="center"/>
          </w:tcPr>
          <w:p w14:paraId="6CE56C6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1430" w:type="dxa"/>
            <w:gridSpan w:val="2"/>
            <w:noWrap w:val="0"/>
            <w:vAlign w:val="center"/>
          </w:tcPr>
          <w:p w14:paraId="3B46CA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66F9F1E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136FB8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1BC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6DABACF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1430" w:type="dxa"/>
            <w:gridSpan w:val="2"/>
            <w:noWrap w:val="0"/>
            <w:vAlign w:val="center"/>
          </w:tcPr>
          <w:p w14:paraId="059929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1.65</w:t>
            </w:r>
            <w:r>
              <w:rPr>
                <w:rFonts w:hint="eastAsia" w:ascii="仿宋" w:hAnsi="仿宋" w:eastAsia="仿宋" w:cs="仿宋"/>
                <w:b w:val="0"/>
                <w:bCs w:val="0"/>
                <w:kern w:val="0"/>
                <w:sz w:val="20"/>
                <w:szCs w:val="20"/>
              </w:rPr>
              <w:t>　</w:t>
            </w:r>
          </w:p>
        </w:tc>
        <w:tc>
          <w:tcPr>
            <w:tcW w:w="2240" w:type="dxa"/>
            <w:gridSpan w:val="2"/>
            <w:noWrap w:val="0"/>
            <w:vAlign w:val="center"/>
          </w:tcPr>
          <w:p w14:paraId="22B4F6D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0.9</w:t>
            </w:r>
          </w:p>
        </w:tc>
        <w:tc>
          <w:tcPr>
            <w:tcW w:w="1832" w:type="dxa"/>
            <w:gridSpan w:val="2"/>
            <w:noWrap w:val="0"/>
            <w:vAlign w:val="center"/>
          </w:tcPr>
          <w:p w14:paraId="09957E5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0.84</w:t>
            </w:r>
            <w:r>
              <w:rPr>
                <w:rFonts w:hint="eastAsia" w:ascii="仿宋" w:hAnsi="仿宋" w:eastAsia="仿宋" w:cs="仿宋"/>
                <w:b w:val="0"/>
                <w:bCs w:val="0"/>
                <w:kern w:val="0"/>
                <w:sz w:val="20"/>
                <w:szCs w:val="20"/>
              </w:rPr>
              <w:t>　</w:t>
            </w:r>
          </w:p>
        </w:tc>
      </w:tr>
      <w:tr w14:paraId="1C02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7BE825C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1430" w:type="dxa"/>
            <w:gridSpan w:val="2"/>
            <w:noWrap w:val="0"/>
            <w:vAlign w:val="center"/>
          </w:tcPr>
          <w:p w14:paraId="1355CFB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04F20A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BE090B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2F4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4A22E45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1430" w:type="dxa"/>
            <w:gridSpan w:val="2"/>
            <w:noWrap w:val="0"/>
            <w:vAlign w:val="center"/>
          </w:tcPr>
          <w:p w14:paraId="2C45679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0.69</w:t>
            </w:r>
          </w:p>
        </w:tc>
        <w:tc>
          <w:tcPr>
            <w:tcW w:w="2240" w:type="dxa"/>
            <w:gridSpan w:val="2"/>
            <w:noWrap w:val="0"/>
            <w:vAlign w:val="center"/>
          </w:tcPr>
          <w:p w14:paraId="7301DEA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1.1</w:t>
            </w:r>
          </w:p>
        </w:tc>
        <w:tc>
          <w:tcPr>
            <w:tcW w:w="1832" w:type="dxa"/>
            <w:gridSpan w:val="2"/>
            <w:noWrap w:val="0"/>
            <w:vAlign w:val="center"/>
          </w:tcPr>
          <w:p w14:paraId="1C6AA12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0.63</w:t>
            </w:r>
            <w:r>
              <w:rPr>
                <w:rFonts w:hint="eastAsia" w:ascii="仿宋" w:hAnsi="仿宋" w:eastAsia="仿宋" w:cs="仿宋"/>
                <w:b w:val="0"/>
                <w:bCs w:val="0"/>
                <w:kern w:val="0"/>
                <w:sz w:val="20"/>
                <w:szCs w:val="20"/>
              </w:rPr>
              <w:t>　</w:t>
            </w:r>
          </w:p>
        </w:tc>
      </w:tr>
      <w:tr w14:paraId="1271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62" w:type="dxa"/>
            <w:noWrap w:val="0"/>
            <w:vAlign w:val="center"/>
          </w:tcPr>
          <w:p w14:paraId="3B8DAC7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1430" w:type="dxa"/>
            <w:gridSpan w:val="2"/>
            <w:noWrap w:val="0"/>
            <w:vAlign w:val="center"/>
          </w:tcPr>
          <w:p w14:paraId="323D5C5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141.57</w:t>
            </w:r>
            <w:r>
              <w:rPr>
                <w:rFonts w:hint="eastAsia" w:ascii="仿宋" w:hAnsi="仿宋" w:eastAsia="仿宋" w:cs="仿宋"/>
                <w:b w:val="0"/>
                <w:bCs w:val="0"/>
                <w:kern w:val="0"/>
                <w:sz w:val="20"/>
                <w:szCs w:val="20"/>
              </w:rPr>
              <w:t>　</w:t>
            </w:r>
          </w:p>
        </w:tc>
        <w:tc>
          <w:tcPr>
            <w:tcW w:w="2240" w:type="dxa"/>
            <w:gridSpan w:val="2"/>
            <w:noWrap w:val="0"/>
            <w:vAlign w:val="center"/>
          </w:tcPr>
          <w:p w14:paraId="37F63E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38</w:t>
            </w:r>
            <w:r>
              <w:rPr>
                <w:rFonts w:hint="eastAsia" w:ascii="仿宋" w:hAnsi="仿宋" w:eastAsia="仿宋" w:cs="仿宋"/>
                <w:b w:val="0"/>
                <w:bCs w:val="0"/>
                <w:kern w:val="0"/>
                <w:sz w:val="20"/>
                <w:szCs w:val="20"/>
              </w:rPr>
              <w:t>　</w:t>
            </w:r>
          </w:p>
        </w:tc>
        <w:tc>
          <w:tcPr>
            <w:tcW w:w="1832" w:type="dxa"/>
            <w:gridSpan w:val="2"/>
            <w:noWrap w:val="0"/>
            <w:vAlign w:val="center"/>
          </w:tcPr>
          <w:p w14:paraId="4B1F2B8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63.18</w:t>
            </w:r>
            <w:r>
              <w:rPr>
                <w:rFonts w:hint="eastAsia" w:ascii="仿宋" w:hAnsi="仿宋" w:eastAsia="仿宋" w:cs="仿宋"/>
                <w:b w:val="0"/>
                <w:bCs w:val="0"/>
                <w:kern w:val="0"/>
                <w:sz w:val="20"/>
                <w:szCs w:val="20"/>
              </w:rPr>
              <w:t>　</w:t>
            </w:r>
          </w:p>
        </w:tc>
      </w:tr>
      <w:tr w14:paraId="534D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6E9F457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1430" w:type="dxa"/>
            <w:gridSpan w:val="2"/>
            <w:noWrap w:val="0"/>
            <w:vAlign w:val="center"/>
          </w:tcPr>
          <w:p w14:paraId="48908B4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0D7D6BD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1CCDE94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1F7C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513AB8B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1430" w:type="dxa"/>
            <w:gridSpan w:val="2"/>
            <w:noWrap w:val="0"/>
            <w:vAlign w:val="center"/>
          </w:tcPr>
          <w:p w14:paraId="33C955E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141.57</w:t>
            </w:r>
            <w:r>
              <w:rPr>
                <w:rFonts w:hint="eastAsia" w:ascii="仿宋" w:hAnsi="仿宋" w:eastAsia="仿宋" w:cs="仿宋"/>
                <w:b w:val="0"/>
                <w:bCs w:val="0"/>
                <w:kern w:val="0"/>
                <w:sz w:val="20"/>
                <w:szCs w:val="20"/>
              </w:rPr>
              <w:t>　</w:t>
            </w:r>
          </w:p>
        </w:tc>
        <w:tc>
          <w:tcPr>
            <w:tcW w:w="2240" w:type="dxa"/>
            <w:gridSpan w:val="2"/>
            <w:noWrap w:val="0"/>
            <w:vAlign w:val="center"/>
          </w:tcPr>
          <w:p w14:paraId="2DC12B9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38</w:t>
            </w:r>
            <w:r>
              <w:rPr>
                <w:rFonts w:hint="eastAsia" w:ascii="仿宋" w:hAnsi="仿宋" w:eastAsia="仿宋" w:cs="仿宋"/>
                <w:b w:val="0"/>
                <w:bCs w:val="0"/>
                <w:kern w:val="0"/>
                <w:sz w:val="20"/>
                <w:szCs w:val="20"/>
              </w:rPr>
              <w:t>　</w:t>
            </w:r>
          </w:p>
        </w:tc>
        <w:tc>
          <w:tcPr>
            <w:tcW w:w="1832" w:type="dxa"/>
            <w:gridSpan w:val="2"/>
            <w:noWrap w:val="0"/>
            <w:vAlign w:val="center"/>
          </w:tcPr>
          <w:p w14:paraId="2DF04DE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63.18</w:t>
            </w:r>
            <w:r>
              <w:rPr>
                <w:rFonts w:hint="eastAsia" w:ascii="仿宋" w:hAnsi="仿宋" w:eastAsia="仿宋" w:cs="仿宋"/>
                <w:b w:val="0"/>
                <w:bCs w:val="0"/>
                <w:kern w:val="0"/>
                <w:sz w:val="20"/>
                <w:szCs w:val="20"/>
              </w:rPr>
              <w:t>　</w:t>
            </w:r>
          </w:p>
        </w:tc>
      </w:tr>
      <w:tr w14:paraId="22E4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62" w:type="dxa"/>
            <w:noWrap w:val="0"/>
            <w:vAlign w:val="center"/>
          </w:tcPr>
          <w:p w14:paraId="781AE45C">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14:paraId="0F24BF48">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1430" w:type="dxa"/>
            <w:gridSpan w:val="2"/>
            <w:noWrap w:val="0"/>
            <w:vAlign w:val="center"/>
          </w:tcPr>
          <w:p w14:paraId="495B4397">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23250ED2">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B6DDDAF">
            <w:pPr>
              <w:widowControl/>
              <w:jc w:val="center"/>
              <w:rPr>
                <w:rFonts w:hint="eastAsia" w:ascii="仿宋" w:hAnsi="仿宋" w:eastAsia="仿宋" w:cs="仿宋"/>
                <w:b w:val="0"/>
                <w:bCs w:val="0"/>
                <w:kern w:val="0"/>
                <w:sz w:val="20"/>
                <w:szCs w:val="20"/>
              </w:rPr>
            </w:pPr>
          </w:p>
        </w:tc>
      </w:tr>
      <w:tr w14:paraId="0DCE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962" w:type="dxa"/>
            <w:noWrap w:val="0"/>
            <w:vAlign w:val="center"/>
          </w:tcPr>
          <w:p w14:paraId="7A344A5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w:t>
            </w:r>
          </w:p>
        </w:tc>
        <w:tc>
          <w:tcPr>
            <w:tcW w:w="1430" w:type="dxa"/>
            <w:gridSpan w:val="2"/>
            <w:noWrap w:val="0"/>
            <w:vAlign w:val="center"/>
          </w:tcPr>
          <w:p w14:paraId="01B8330D">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FE03327">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DAB6A90">
            <w:pPr>
              <w:widowControl/>
              <w:jc w:val="center"/>
              <w:rPr>
                <w:rFonts w:hint="eastAsia" w:ascii="仿宋" w:hAnsi="仿宋" w:eastAsia="仿宋" w:cs="仿宋"/>
                <w:b w:val="0"/>
                <w:bCs w:val="0"/>
                <w:kern w:val="0"/>
                <w:sz w:val="20"/>
                <w:szCs w:val="20"/>
              </w:rPr>
            </w:pPr>
          </w:p>
        </w:tc>
      </w:tr>
      <w:tr w14:paraId="0C9B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78BF4528">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1430" w:type="dxa"/>
            <w:gridSpan w:val="2"/>
            <w:noWrap w:val="0"/>
            <w:vAlign w:val="center"/>
          </w:tcPr>
          <w:p w14:paraId="06DEA2B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5.31</w:t>
            </w:r>
            <w:r>
              <w:rPr>
                <w:rFonts w:hint="eastAsia" w:ascii="仿宋" w:hAnsi="仿宋" w:eastAsia="仿宋" w:cs="仿宋"/>
                <w:b w:val="0"/>
                <w:bCs w:val="0"/>
                <w:kern w:val="0"/>
                <w:sz w:val="20"/>
                <w:szCs w:val="20"/>
              </w:rPr>
              <w:t>　</w:t>
            </w:r>
          </w:p>
        </w:tc>
        <w:tc>
          <w:tcPr>
            <w:tcW w:w="2240" w:type="dxa"/>
            <w:gridSpan w:val="2"/>
            <w:noWrap w:val="0"/>
            <w:vAlign w:val="center"/>
          </w:tcPr>
          <w:p w14:paraId="2B12278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13.5</w:t>
            </w:r>
          </w:p>
        </w:tc>
        <w:tc>
          <w:tcPr>
            <w:tcW w:w="1832" w:type="dxa"/>
            <w:gridSpan w:val="2"/>
            <w:noWrap w:val="0"/>
            <w:vAlign w:val="center"/>
          </w:tcPr>
          <w:p w14:paraId="455E498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5.45</w:t>
            </w:r>
          </w:p>
        </w:tc>
      </w:tr>
      <w:tr w14:paraId="102B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6EE8FBB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1430" w:type="dxa"/>
            <w:gridSpan w:val="2"/>
            <w:noWrap w:val="0"/>
            <w:vAlign w:val="center"/>
          </w:tcPr>
          <w:p w14:paraId="0AC7CDE5">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0.26</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635CB17A">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p>
        </w:tc>
        <w:tc>
          <w:tcPr>
            <w:tcW w:w="1832" w:type="dxa"/>
            <w:gridSpan w:val="2"/>
            <w:noWrap w:val="0"/>
            <w:vAlign w:val="center"/>
          </w:tcPr>
          <w:p w14:paraId="27891FAA">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p>
        </w:tc>
      </w:tr>
      <w:tr w14:paraId="28D4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6F67F22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1430" w:type="dxa"/>
            <w:gridSpan w:val="2"/>
            <w:noWrap w:val="0"/>
            <w:vAlign w:val="center"/>
          </w:tcPr>
          <w:p w14:paraId="1B6C25D6">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0.55</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3A70A98D">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p>
        </w:tc>
        <w:tc>
          <w:tcPr>
            <w:tcW w:w="1832" w:type="dxa"/>
            <w:gridSpan w:val="2"/>
            <w:noWrap w:val="0"/>
            <w:vAlign w:val="center"/>
          </w:tcPr>
          <w:p w14:paraId="699D45BB">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 xml:space="preserve">  0.00</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1B4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3962" w:type="dxa"/>
            <w:noWrap w:val="0"/>
            <w:vAlign w:val="center"/>
          </w:tcPr>
          <w:p w14:paraId="6F65C19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1430" w:type="dxa"/>
            <w:gridSpan w:val="2"/>
            <w:noWrap w:val="0"/>
            <w:vAlign w:val="center"/>
          </w:tcPr>
          <w:p w14:paraId="6EAED8BF">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525FF3EF">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p>
        </w:tc>
        <w:tc>
          <w:tcPr>
            <w:tcW w:w="1832" w:type="dxa"/>
            <w:gridSpan w:val="2"/>
            <w:noWrap w:val="0"/>
            <w:vAlign w:val="center"/>
          </w:tcPr>
          <w:p w14:paraId="4AD62A08">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p>
        </w:tc>
      </w:tr>
      <w:tr w14:paraId="5EB1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30B3AE9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1430" w:type="dxa"/>
            <w:gridSpan w:val="2"/>
            <w:noWrap w:val="0"/>
            <w:vAlign w:val="center"/>
          </w:tcPr>
          <w:p w14:paraId="2AA02C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20FA282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39.67</w:t>
            </w:r>
          </w:p>
        </w:tc>
        <w:tc>
          <w:tcPr>
            <w:tcW w:w="1832" w:type="dxa"/>
            <w:gridSpan w:val="2"/>
            <w:noWrap w:val="0"/>
            <w:vAlign w:val="center"/>
          </w:tcPr>
          <w:p w14:paraId="6A3436F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39.67</w:t>
            </w:r>
          </w:p>
        </w:tc>
      </w:tr>
      <w:tr w14:paraId="3E70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2" w:type="dxa"/>
            <w:noWrap w:val="0"/>
            <w:vAlign w:val="center"/>
          </w:tcPr>
          <w:p w14:paraId="3EF6737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highlight w:val="none"/>
              </w:rPr>
              <w:t xml:space="preserve">部门基本支出预算调整 </w:t>
            </w:r>
          </w:p>
        </w:tc>
        <w:tc>
          <w:tcPr>
            <w:tcW w:w="1430" w:type="dxa"/>
            <w:gridSpan w:val="2"/>
            <w:noWrap w:val="0"/>
            <w:vAlign w:val="center"/>
          </w:tcPr>
          <w:p w14:paraId="6663B29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018D7CE9">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158.26</w:t>
            </w:r>
          </w:p>
        </w:tc>
        <w:tc>
          <w:tcPr>
            <w:tcW w:w="1832" w:type="dxa"/>
            <w:gridSpan w:val="2"/>
            <w:noWrap w:val="0"/>
            <w:vAlign w:val="center"/>
          </w:tcPr>
          <w:p w14:paraId="7FB044C8">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127.39</w:t>
            </w:r>
          </w:p>
        </w:tc>
      </w:tr>
      <w:tr w14:paraId="034E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962" w:type="dxa"/>
            <w:vMerge w:val="restart"/>
            <w:noWrap w:val="0"/>
            <w:vAlign w:val="center"/>
          </w:tcPr>
          <w:p w14:paraId="003744F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14:paraId="49D09114">
            <w:pPr>
              <w:widowControl/>
              <w:jc w:val="center"/>
              <w:rPr>
                <w:rFonts w:hint="eastAsia" w:ascii="仿宋" w:hAnsi="仿宋" w:eastAsia="仿宋" w:cs="仿宋"/>
                <w:b w:val="0"/>
                <w:bCs w:val="0"/>
                <w:kern w:val="0"/>
                <w:sz w:val="20"/>
                <w:szCs w:val="20"/>
                <w:lang w:eastAsia="zh-CN"/>
              </w:rPr>
            </w:pPr>
          </w:p>
        </w:tc>
        <w:tc>
          <w:tcPr>
            <w:tcW w:w="750" w:type="dxa"/>
            <w:noWrap w:val="0"/>
            <w:vAlign w:val="center"/>
          </w:tcPr>
          <w:p w14:paraId="1B04C44C">
            <w:pPr>
              <w:widowControl/>
              <w:spacing w:line="240" w:lineRule="exact"/>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14:paraId="2D06F65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680" w:type="dxa"/>
            <w:noWrap w:val="0"/>
            <w:vAlign w:val="center"/>
          </w:tcPr>
          <w:p w14:paraId="0D5A3715">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100481B8">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40DCB2C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008D5E8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53CD62D0">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5CD0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962" w:type="dxa"/>
            <w:vMerge w:val="continue"/>
            <w:noWrap w:val="0"/>
            <w:vAlign w:val="center"/>
          </w:tcPr>
          <w:p w14:paraId="75774C00">
            <w:pPr>
              <w:widowControl/>
              <w:jc w:val="left"/>
              <w:rPr>
                <w:rFonts w:hint="eastAsia" w:ascii="仿宋" w:hAnsi="仿宋" w:eastAsia="仿宋" w:cs="仿宋"/>
                <w:b w:val="0"/>
                <w:bCs w:val="0"/>
                <w:kern w:val="0"/>
                <w:sz w:val="20"/>
                <w:szCs w:val="20"/>
              </w:rPr>
            </w:pPr>
          </w:p>
        </w:tc>
        <w:tc>
          <w:tcPr>
            <w:tcW w:w="750" w:type="dxa"/>
            <w:noWrap w:val="0"/>
            <w:vAlign w:val="center"/>
          </w:tcPr>
          <w:p w14:paraId="327EC197">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lang w:val="en-US" w:eastAsia="zh-CN"/>
              </w:rPr>
              <w:t>0</w:t>
            </w:r>
            <w:r>
              <w:rPr>
                <w:rFonts w:hint="eastAsia" w:ascii="仿宋" w:hAnsi="仿宋" w:eastAsia="仿宋" w:cs="仿宋"/>
                <w:b w:val="0"/>
                <w:bCs w:val="0"/>
                <w:kern w:val="0"/>
                <w:sz w:val="20"/>
                <w:szCs w:val="20"/>
                <w:highlight w:val="none"/>
              </w:rPr>
              <w:t>　</w:t>
            </w:r>
          </w:p>
        </w:tc>
        <w:tc>
          <w:tcPr>
            <w:tcW w:w="680" w:type="dxa"/>
            <w:noWrap w:val="0"/>
            <w:vAlign w:val="center"/>
          </w:tcPr>
          <w:p w14:paraId="33E7273E">
            <w:pPr>
              <w:widowControl/>
              <w:jc w:val="left"/>
              <w:rPr>
                <w:rFonts w:hint="eastAsia"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rPr>
              <w:t>　</w:t>
            </w:r>
            <w:r>
              <w:rPr>
                <w:rFonts w:hint="eastAsia" w:ascii="仿宋" w:hAnsi="仿宋" w:eastAsia="仿宋" w:cs="仿宋"/>
                <w:b w:val="0"/>
                <w:bCs w:val="0"/>
                <w:kern w:val="0"/>
                <w:sz w:val="20"/>
                <w:szCs w:val="20"/>
                <w:highlight w:val="none"/>
                <w:lang w:val="en-US" w:eastAsia="zh-CN"/>
              </w:rPr>
              <w:t>0</w:t>
            </w:r>
          </w:p>
        </w:tc>
        <w:tc>
          <w:tcPr>
            <w:tcW w:w="1129" w:type="dxa"/>
            <w:noWrap w:val="0"/>
            <w:vAlign w:val="center"/>
          </w:tcPr>
          <w:p w14:paraId="40F2CA3C">
            <w:pPr>
              <w:widowControl/>
              <w:jc w:val="left"/>
              <w:rPr>
                <w:rFonts w:hint="eastAsia"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rPr>
              <w:t>　</w:t>
            </w:r>
            <w:r>
              <w:rPr>
                <w:rFonts w:hint="eastAsia" w:ascii="仿宋" w:hAnsi="仿宋" w:eastAsia="仿宋" w:cs="仿宋"/>
                <w:b w:val="0"/>
                <w:bCs w:val="0"/>
                <w:kern w:val="0"/>
                <w:sz w:val="20"/>
                <w:szCs w:val="20"/>
                <w:highlight w:val="none"/>
                <w:lang w:val="en-US" w:eastAsia="zh-CN"/>
              </w:rPr>
              <w:t>0</w:t>
            </w:r>
          </w:p>
        </w:tc>
        <w:tc>
          <w:tcPr>
            <w:tcW w:w="1111" w:type="dxa"/>
            <w:noWrap w:val="0"/>
            <w:vAlign w:val="center"/>
          </w:tcPr>
          <w:p w14:paraId="36F207F4">
            <w:pPr>
              <w:widowControl/>
              <w:jc w:val="left"/>
              <w:rPr>
                <w:rFonts w:hint="eastAsia"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rPr>
              <w:t>　</w:t>
            </w:r>
            <w:r>
              <w:rPr>
                <w:rFonts w:hint="eastAsia" w:ascii="仿宋" w:hAnsi="仿宋" w:eastAsia="仿宋" w:cs="仿宋"/>
                <w:b w:val="0"/>
                <w:bCs w:val="0"/>
                <w:kern w:val="0"/>
                <w:sz w:val="20"/>
                <w:szCs w:val="20"/>
                <w:highlight w:val="none"/>
                <w:lang w:val="en-US" w:eastAsia="zh-CN"/>
              </w:rPr>
              <w:t>0</w:t>
            </w:r>
          </w:p>
        </w:tc>
        <w:tc>
          <w:tcPr>
            <w:tcW w:w="969" w:type="dxa"/>
            <w:noWrap w:val="0"/>
            <w:vAlign w:val="center"/>
          </w:tcPr>
          <w:p w14:paraId="3C2BE9CF">
            <w:pPr>
              <w:widowControl/>
              <w:jc w:val="left"/>
              <w:rPr>
                <w:rFonts w:hint="eastAsia"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rPr>
              <w:t>　</w:t>
            </w:r>
            <w:r>
              <w:rPr>
                <w:rFonts w:hint="eastAsia" w:ascii="仿宋" w:hAnsi="仿宋" w:eastAsia="仿宋" w:cs="仿宋"/>
                <w:b w:val="0"/>
                <w:bCs w:val="0"/>
                <w:kern w:val="0"/>
                <w:sz w:val="20"/>
                <w:szCs w:val="20"/>
                <w:highlight w:val="none"/>
                <w:lang w:val="en-US" w:eastAsia="zh-CN"/>
              </w:rPr>
              <w:t>0</w:t>
            </w:r>
          </w:p>
        </w:tc>
        <w:tc>
          <w:tcPr>
            <w:tcW w:w="863" w:type="dxa"/>
            <w:noWrap w:val="0"/>
            <w:vAlign w:val="center"/>
          </w:tcPr>
          <w:p w14:paraId="150D4AC7">
            <w:pPr>
              <w:widowControl/>
              <w:jc w:val="left"/>
              <w:rPr>
                <w:rFonts w:hint="eastAsia"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rPr>
              <w:t>　</w:t>
            </w:r>
            <w:r>
              <w:rPr>
                <w:rFonts w:hint="eastAsia" w:ascii="仿宋" w:hAnsi="仿宋" w:eastAsia="仿宋" w:cs="仿宋"/>
                <w:b w:val="0"/>
                <w:bCs w:val="0"/>
                <w:kern w:val="0"/>
                <w:sz w:val="20"/>
                <w:szCs w:val="20"/>
                <w:highlight w:val="none"/>
                <w:lang w:val="en-US" w:eastAsia="zh-CN"/>
              </w:rPr>
              <w:t>0</w:t>
            </w:r>
          </w:p>
        </w:tc>
      </w:tr>
      <w:tr w14:paraId="440B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962" w:type="dxa"/>
            <w:noWrap w:val="0"/>
            <w:vAlign w:val="center"/>
          </w:tcPr>
          <w:p w14:paraId="593ED6A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5502" w:type="dxa"/>
            <w:gridSpan w:val="6"/>
            <w:noWrap w:val="0"/>
            <w:vAlign w:val="center"/>
          </w:tcPr>
          <w:p w14:paraId="60CDF02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制定了差旅费管理制度、公务接待管理制度、公务用车管理制度、财务管理制度等</w:t>
            </w:r>
            <w:r>
              <w:rPr>
                <w:rFonts w:hint="eastAsia" w:ascii="仿宋" w:hAnsi="仿宋" w:eastAsia="仿宋" w:cs="仿宋"/>
                <w:b w:val="0"/>
                <w:bCs w:val="0"/>
                <w:kern w:val="0"/>
                <w:sz w:val="20"/>
                <w:szCs w:val="20"/>
              </w:rPr>
              <w:t>　　</w:t>
            </w:r>
          </w:p>
        </w:tc>
      </w:tr>
    </w:tbl>
    <w:p w14:paraId="08AAD773">
      <w:pPr>
        <w:pStyle w:val="10"/>
        <w:keepNext/>
        <w:keepLines/>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bidi="ar-SA"/>
        </w:rPr>
        <w:t>说明：“项目支出”需要填报基本支出以外的所有项目支出情况，“公用经费”填报基本支出中的一般商品和服务支出。</w:t>
      </w:r>
    </w:p>
    <w:p w14:paraId="14115B0D">
      <w:pPr>
        <w:widowControl w:val="0"/>
        <w:kinsoku/>
        <w:autoSpaceDE/>
        <w:autoSpaceDN/>
        <w:adjustRightInd/>
        <w:snapToGrid/>
        <w:spacing w:line="600" w:lineRule="exact"/>
        <w:jc w:val="both"/>
        <w:textAlignment w:val="auto"/>
        <w:rPr>
          <w:rFonts w:hint="default" w:ascii="仿宋" w:hAnsi="仿宋" w:eastAsia="仿宋" w:cs="仿宋"/>
          <w:b w:val="0"/>
          <w:bCs w:val="0"/>
          <w:kern w:val="0"/>
          <w:sz w:val="20"/>
          <w:szCs w:val="20"/>
          <w:lang w:val="en-US" w:eastAsia="zh-CN" w:bidi="ar-SA"/>
        </w:rPr>
      </w:pPr>
      <w:r>
        <w:rPr>
          <w:rFonts w:hint="default" w:ascii="仿宋" w:hAnsi="仿宋" w:eastAsia="仿宋" w:cs="仿宋"/>
          <w:b w:val="0"/>
          <w:bCs w:val="0"/>
          <w:kern w:val="0"/>
          <w:sz w:val="20"/>
          <w:szCs w:val="20"/>
          <w:lang w:val="en-US" w:eastAsia="zh-CN" w:bidi="ar-SA"/>
        </w:rPr>
        <w:t>填表人：</w:t>
      </w:r>
      <w:r>
        <w:rPr>
          <w:rFonts w:hint="eastAsia" w:ascii="仿宋" w:hAnsi="仿宋" w:eastAsia="仿宋" w:cs="仿宋"/>
          <w:b w:val="0"/>
          <w:bCs w:val="0"/>
          <w:kern w:val="0"/>
          <w:sz w:val="20"/>
          <w:szCs w:val="20"/>
          <w:lang w:val="en-US" w:eastAsia="zh-CN" w:bidi="ar-SA"/>
        </w:rPr>
        <w:t xml:space="preserve">                 </w:t>
      </w:r>
      <w:r>
        <w:rPr>
          <w:rFonts w:hint="default" w:ascii="仿宋" w:hAnsi="仿宋" w:eastAsia="仿宋" w:cs="仿宋"/>
          <w:b w:val="0"/>
          <w:bCs w:val="0"/>
          <w:kern w:val="0"/>
          <w:sz w:val="20"/>
          <w:szCs w:val="20"/>
          <w:lang w:val="en-US" w:eastAsia="zh-CN" w:bidi="ar-SA"/>
        </w:rPr>
        <w:t xml:space="preserve">  填报日期：</w:t>
      </w:r>
      <w:r>
        <w:rPr>
          <w:rFonts w:hint="eastAsia" w:ascii="仿宋" w:hAnsi="仿宋" w:eastAsia="仿宋" w:cs="仿宋"/>
          <w:b w:val="0"/>
          <w:bCs w:val="0"/>
          <w:kern w:val="0"/>
          <w:sz w:val="20"/>
          <w:szCs w:val="20"/>
          <w:lang w:val="en-US" w:eastAsia="zh-CN" w:bidi="ar-SA"/>
        </w:rPr>
        <w:t xml:space="preserve">     </w:t>
      </w:r>
      <w:r>
        <w:rPr>
          <w:rFonts w:hint="default" w:ascii="仿宋" w:hAnsi="仿宋" w:eastAsia="仿宋" w:cs="仿宋"/>
          <w:b w:val="0"/>
          <w:bCs w:val="0"/>
          <w:kern w:val="0"/>
          <w:sz w:val="20"/>
          <w:szCs w:val="20"/>
          <w:lang w:val="en-US" w:eastAsia="zh-CN" w:bidi="ar-SA"/>
        </w:rPr>
        <w:t xml:space="preserve"> </w:t>
      </w:r>
      <w:r>
        <w:rPr>
          <w:rFonts w:hint="eastAsia" w:ascii="仿宋" w:hAnsi="仿宋" w:eastAsia="仿宋" w:cs="仿宋"/>
          <w:b w:val="0"/>
          <w:bCs w:val="0"/>
          <w:kern w:val="0"/>
          <w:sz w:val="20"/>
          <w:szCs w:val="20"/>
          <w:lang w:val="en-US" w:eastAsia="zh-CN" w:bidi="ar-SA"/>
        </w:rPr>
        <w:t xml:space="preserve">                </w:t>
      </w:r>
      <w:r>
        <w:rPr>
          <w:rFonts w:hint="default" w:ascii="仿宋" w:hAnsi="仿宋" w:eastAsia="仿宋" w:cs="仿宋"/>
          <w:b w:val="0"/>
          <w:bCs w:val="0"/>
          <w:kern w:val="0"/>
          <w:sz w:val="20"/>
          <w:szCs w:val="20"/>
          <w:lang w:val="en-US" w:eastAsia="zh-CN" w:bidi="ar-SA"/>
        </w:rPr>
        <w:t>联系电话：</w:t>
      </w:r>
      <w:r>
        <w:rPr>
          <w:rFonts w:hint="eastAsia" w:ascii="仿宋" w:hAnsi="仿宋" w:eastAsia="仿宋" w:cs="仿宋"/>
          <w:b w:val="0"/>
          <w:bCs w:val="0"/>
          <w:kern w:val="0"/>
          <w:sz w:val="20"/>
          <w:szCs w:val="20"/>
          <w:lang w:val="en-US" w:eastAsia="zh-CN" w:bidi="ar-SA"/>
        </w:rPr>
        <w:t xml:space="preserve"> </w:t>
      </w:r>
    </w:p>
    <w:p w14:paraId="1260AA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1A95B68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jc w:val="both"/>
        <w:textAlignment w:val="auto"/>
        <w:rPr>
          <w:rFonts w:hint="eastAsia" w:ascii="方正小标宋简体" w:hAnsi="方正小标宋简体" w:eastAsia="方正小标宋简体" w:cs="方正小标宋简体"/>
          <w:color w:val="000000"/>
          <w:kern w:val="0"/>
          <w:sz w:val="36"/>
          <w:szCs w:val="36"/>
          <w:lang w:val="en-US" w:eastAsia="zh-CN"/>
        </w:rPr>
      </w:pPr>
    </w:p>
    <w:p w14:paraId="5BF05EA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default"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附件2-2</w:t>
      </w:r>
    </w:p>
    <w:p w14:paraId="1CFC6B2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2023年部门整体支出绩效自评表</w:t>
      </w:r>
    </w:p>
    <w:tbl>
      <w:tblPr>
        <w:tblStyle w:val="8"/>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153"/>
        <w:gridCol w:w="1099"/>
        <w:gridCol w:w="990"/>
        <w:gridCol w:w="687"/>
        <w:gridCol w:w="1091"/>
        <w:gridCol w:w="1121"/>
        <w:gridCol w:w="701"/>
        <w:gridCol w:w="616"/>
        <w:gridCol w:w="659"/>
        <w:gridCol w:w="502"/>
      </w:tblGrid>
      <w:tr w14:paraId="00EB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2" w:type="dxa"/>
          <w:trHeight w:val="395" w:hRule="atLeast"/>
          <w:jc w:val="center"/>
        </w:trPr>
        <w:tc>
          <w:tcPr>
            <w:tcW w:w="1145" w:type="dxa"/>
            <w:noWrap w:val="0"/>
            <w:vAlign w:val="center"/>
          </w:tcPr>
          <w:p w14:paraId="7F0BC25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预算单位名称</w:t>
            </w:r>
          </w:p>
        </w:tc>
        <w:tc>
          <w:tcPr>
            <w:tcW w:w="8117" w:type="dxa"/>
            <w:gridSpan w:val="9"/>
            <w:noWrap w:val="0"/>
            <w:vAlign w:val="center"/>
          </w:tcPr>
          <w:p w14:paraId="5EA9787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怀化市地震局　　</w:t>
            </w:r>
          </w:p>
        </w:tc>
      </w:tr>
      <w:tr w14:paraId="6E03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5" w:type="dxa"/>
            <w:vMerge w:val="restart"/>
            <w:noWrap w:val="0"/>
            <w:vAlign w:val="center"/>
          </w:tcPr>
          <w:p w14:paraId="42D5E1B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年度预</w:t>
            </w:r>
          </w:p>
          <w:p w14:paraId="06513FC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算申请</w:t>
            </w:r>
          </w:p>
          <w:p w14:paraId="570A04A5">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（万元）</w:t>
            </w:r>
          </w:p>
        </w:tc>
        <w:tc>
          <w:tcPr>
            <w:tcW w:w="2252" w:type="dxa"/>
            <w:gridSpan w:val="2"/>
            <w:noWrap w:val="0"/>
            <w:vAlign w:val="center"/>
          </w:tcPr>
          <w:p w14:paraId="4956C34E">
            <w:pPr>
              <w:widowControl/>
              <w:jc w:val="center"/>
              <w:rPr>
                <w:rFonts w:hint="eastAsia" w:ascii="仿宋" w:hAnsi="仿宋" w:eastAsia="仿宋" w:cs="仿宋"/>
                <w:b w:val="0"/>
                <w:bCs w:val="0"/>
                <w:kern w:val="0"/>
                <w:sz w:val="20"/>
                <w:szCs w:val="20"/>
                <w:lang w:val="en-US" w:eastAsia="zh-CN"/>
              </w:rPr>
            </w:pPr>
          </w:p>
        </w:tc>
        <w:tc>
          <w:tcPr>
            <w:tcW w:w="990" w:type="dxa"/>
            <w:noWrap w:val="0"/>
            <w:vAlign w:val="center"/>
          </w:tcPr>
          <w:p w14:paraId="543A415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年初</w:t>
            </w:r>
          </w:p>
          <w:p w14:paraId="6058ED8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预算数</w:t>
            </w:r>
          </w:p>
        </w:tc>
        <w:tc>
          <w:tcPr>
            <w:tcW w:w="1778" w:type="dxa"/>
            <w:gridSpan w:val="2"/>
            <w:noWrap w:val="0"/>
            <w:vAlign w:val="center"/>
          </w:tcPr>
          <w:p w14:paraId="3D41A75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全年预算数</w:t>
            </w:r>
          </w:p>
        </w:tc>
        <w:tc>
          <w:tcPr>
            <w:tcW w:w="1121" w:type="dxa"/>
            <w:noWrap w:val="0"/>
            <w:vAlign w:val="center"/>
          </w:tcPr>
          <w:p w14:paraId="6B1A16D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全年</w:t>
            </w:r>
          </w:p>
          <w:p w14:paraId="1FC0CE8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执行数</w:t>
            </w:r>
          </w:p>
        </w:tc>
        <w:tc>
          <w:tcPr>
            <w:tcW w:w="701" w:type="dxa"/>
            <w:noWrap w:val="0"/>
            <w:vAlign w:val="center"/>
          </w:tcPr>
          <w:p w14:paraId="1ABACA0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分值</w:t>
            </w:r>
          </w:p>
        </w:tc>
        <w:tc>
          <w:tcPr>
            <w:tcW w:w="616" w:type="dxa"/>
            <w:noWrap w:val="0"/>
            <w:vAlign w:val="center"/>
          </w:tcPr>
          <w:p w14:paraId="02D7977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执行率</w:t>
            </w:r>
          </w:p>
        </w:tc>
        <w:tc>
          <w:tcPr>
            <w:tcW w:w="1161" w:type="dxa"/>
            <w:gridSpan w:val="2"/>
            <w:noWrap w:val="0"/>
            <w:vAlign w:val="center"/>
          </w:tcPr>
          <w:p w14:paraId="259E77B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得分</w:t>
            </w:r>
          </w:p>
        </w:tc>
      </w:tr>
      <w:tr w14:paraId="3C0E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1DD2EA19">
            <w:pPr>
              <w:widowControl/>
              <w:jc w:val="center"/>
              <w:rPr>
                <w:rFonts w:hint="eastAsia" w:ascii="仿宋" w:hAnsi="仿宋" w:eastAsia="仿宋" w:cs="仿宋"/>
                <w:b w:val="0"/>
                <w:bCs w:val="0"/>
                <w:kern w:val="0"/>
                <w:sz w:val="20"/>
                <w:szCs w:val="20"/>
                <w:lang w:val="en-US" w:eastAsia="zh-CN"/>
              </w:rPr>
            </w:pPr>
          </w:p>
        </w:tc>
        <w:tc>
          <w:tcPr>
            <w:tcW w:w="2252" w:type="dxa"/>
            <w:gridSpan w:val="2"/>
            <w:noWrap w:val="0"/>
            <w:vAlign w:val="center"/>
          </w:tcPr>
          <w:p w14:paraId="017136F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年度资金总额</w:t>
            </w:r>
          </w:p>
        </w:tc>
        <w:tc>
          <w:tcPr>
            <w:tcW w:w="990" w:type="dxa"/>
            <w:noWrap w:val="0"/>
            <w:vAlign w:val="center"/>
          </w:tcPr>
          <w:p w14:paraId="06553BF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196.26</w:t>
            </w:r>
          </w:p>
        </w:tc>
        <w:tc>
          <w:tcPr>
            <w:tcW w:w="1778" w:type="dxa"/>
            <w:gridSpan w:val="2"/>
            <w:noWrap w:val="0"/>
            <w:vAlign w:val="center"/>
          </w:tcPr>
          <w:p w14:paraId="441DEB4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190.57</w:t>
            </w:r>
          </w:p>
        </w:tc>
        <w:tc>
          <w:tcPr>
            <w:tcW w:w="1121" w:type="dxa"/>
            <w:noWrap w:val="0"/>
            <w:vAlign w:val="center"/>
          </w:tcPr>
          <w:p w14:paraId="5E9850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190.57</w:t>
            </w:r>
          </w:p>
        </w:tc>
        <w:tc>
          <w:tcPr>
            <w:tcW w:w="701" w:type="dxa"/>
            <w:noWrap w:val="0"/>
            <w:vAlign w:val="center"/>
          </w:tcPr>
          <w:p w14:paraId="3282C6B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616" w:type="dxa"/>
            <w:noWrap w:val="0"/>
            <w:vAlign w:val="center"/>
          </w:tcPr>
          <w:p w14:paraId="7EA375B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1161" w:type="dxa"/>
            <w:gridSpan w:val="2"/>
            <w:noWrap w:val="0"/>
            <w:vAlign w:val="center"/>
          </w:tcPr>
          <w:p w14:paraId="7E02936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36A6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77382084">
            <w:pPr>
              <w:widowControl/>
              <w:jc w:val="center"/>
              <w:rPr>
                <w:rFonts w:hint="eastAsia" w:ascii="仿宋" w:hAnsi="仿宋" w:eastAsia="仿宋" w:cs="仿宋"/>
                <w:b w:val="0"/>
                <w:bCs w:val="0"/>
                <w:kern w:val="0"/>
                <w:sz w:val="20"/>
                <w:szCs w:val="20"/>
                <w:lang w:val="en-US" w:eastAsia="zh-CN"/>
              </w:rPr>
            </w:pPr>
          </w:p>
        </w:tc>
        <w:tc>
          <w:tcPr>
            <w:tcW w:w="5020" w:type="dxa"/>
            <w:gridSpan w:val="5"/>
            <w:noWrap w:val="0"/>
            <w:vAlign w:val="center"/>
          </w:tcPr>
          <w:p w14:paraId="5979F54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按收入性质分：190.57</w:t>
            </w:r>
          </w:p>
        </w:tc>
        <w:tc>
          <w:tcPr>
            <w:tcW w:w="3599" w:type="dxa"/>
            <w:gridSpan w:val="5"/>
            <w:noWrap w:val="0"/>
            <w:vAlign w:val="center"/>
          </w:tcPr>
          <w:p w14:paraId="7FFE313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按支出性质分：190.57</w:t>
            </w:r>
          </w:p>
        </w:tc>
      </w:tr>
      <w:tr w14:paraId="3670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54CD050F">
            <w:pPr>
              <w:widowControl/>
              <w:jc w:val="center"/>
              <w:rPr>
                <w:rFonts w:hint="eastAsia" w:ascii="仿宋" w:hAnsi="仿宋" w:eastAsia="仿宋" w:cs="仿宋"/>
                <w:b w:val="0"/>
                <w:bCs w:val="0"/>
                <w:kern w:val="0"/>
                <w:sz w:val="20"/>
                <w:szCs w:val="20"/>
                <w:lang w:val="en-US" w:eastAsia="zh-CN"/>
              </w:rPr>
            </w:pPr>
          </w:p>
        </w:tc>
        <w:tc>
          <w:tcPr>
            <w:tcW w:w="5020" w:type="dxa"/>
            <w:gridSpan w:val="5"/>
            <w:noWrap w:val="0"/>
            <w:vAlign w:val="center"/>
          </w:tcPr>
          <w:p w14:paraId="3BF31A1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xml:space="preserve">  其中：  一般公共预算：190.57</w:t>
            </w:r>
          </w:p>
        </w:tc>
        <w:tc>
          <w:tcPr>
            <w:tcW w:w="3599" w:type="dxa"/>
            <w:gridSpan w:val="5"/>
            <w:noWrap w:val="0"/>
            <w:vAlign w:val="center"/>
          </w:tcPr>
          <w:p w14:paraId="7144A9D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其中：基本支出：127.39</w:t>
            </w:r>
          </w:p>
        </w:tc>
      </w:tr>
      <w:tr w14:paraId="0F63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65B8007B">
            <w:pPr>
              <w:widowControl/>
              <w:jc w:val="center"/>
              <w:rPr>
                <w:rFonts w:hint="eastAsia" w:ascii="仿宋" w:hAnsi="仿宋" w:eastAsia="仿宋" w:cs="仿宋"/>
                <w:b w:val="0"/>
                <w:bCs w:val="0"/>
                <w:kern w:val="0"/>
                <w:sz w:val="20"/>
                <w:szCs w:val="20"/>
                <w:lang w:val="en-US" w:eastAsia="zh-CN"/>
              </w:rPr>
            </w:pPr>
          </w:p>
        </w:tc>
        <w:tc>
          <w:tcPr>
            <w:tcW w:w="5020" w:type="dxa"/>
            <w:gridSpan w:val="5"/>
            <w:noWrap w:val="0"/>
            <w:vAlign w:val="center"/>
          </w:tcPr>
          <w:p w14:paraId="5C81662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政府性基金拨款：</w:t>
            </w:r>
          </w:p>
        </w:tc>
        <w:tc>
          <w:tcPr>
            <w:tcW w:w="3599" w:type="dxa"/>
            <w:gridSpan w:val="5"/>
            <w:noWrap w:val="0"/>
            <w:vAlign w:val="center"/>
          </w:tcPr>
          <w:p w14:paraId="2832EE2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项目支出：63.18</w:t>
            </w:r>
          </w:p>
        </w:tc>
      </w:tr>
      <w:tr w14:paraId="31C4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04256238">
            <w:pPr>
              <w:widowControl/>
              <w:jc w:val="center"/>
              <w:rPr>
                <w:rFonts w:hint="eastAsia" w:ascii="仿宋" w:hAnsi="仿宋" w:eastAsia="仿宋" w:cs="仿宋"/>
                <w:b w:val="0"/>
                <w:bCs w:val="0"/>
                <w:kern w:val="0"/>
                <w:sz w:val="20"/>
                <w:szCs w:val="20"/>
                <w:lang w:val="en-US" w:eastAsia="zh-CN"/>
              </w:rPr>
            </w:pPr>
          </w:p>
        </w:tc>
        <w:tc>
          <w:tcPr>
            <w:tcW w:w="5020" w:type="dxa"/>
            <w:gridSpan w:val="5"/>
            <w:noWrap w:val="0"/>
            <w:vAlign w:val="center"/>
          </w:tcPr>
          <w:p w14:paraId="663239E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纳入专户管理的非税收入拨款：</w:t>
            </w:r>
          </w:p>
        </w:tc>
        <w:tc>
          <w:tcPr>
            <w:tcW w:w="3599" w:type="dxa"/>
            <w:gridSpan w:val="5"/>
            <w:noWrap w:val="0"/>
            <w:vAlign w:val="center"/>
          </w:tcPr>
          <w:p w14:paraId="091C1A39">
            <w:pPr>
              <w:widowControl/>
              <w:jc w:val="center"/>
              <w:rPr>
                <w:rFonts w:hint="eastAsia" w:ascii="仿宋" w:hAnsi="仿宋" w:eastAsia="仿宋" w:cs="仿宋"/>
                <w:b w:val="0"/>
                <w:bCs w:val="0"/>
                <w:kern w:val="0"/>
                <w:sz w:val="20"/>
                <w:szCs w:val="20"/>
                <w:lang w:val="en-US" w:eastAsia="zh-CN"/>
              </w:rPr>
            </w:pPr>
          </w:p>
        </w:tc>
      </w:tr>
      <w:tr w14:paraId="5208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5" w:type="dxa"/>
            <w:vMerge w:val="continue"/>
            <w:noWrap w:val="0"/>
            <w:vAlign w:val="center"/>
          </w:tcPr>
          <w:p w14:paraId="315B434E">
            <w:pPr>
              <w:widowControl/>
              <w:jc w:val="center"/>
              <w:rPr>
                <w:rFonts w:hint="eastAsia" w:ascii="仿宋" w:hAnsi="仿宋" w:eastAsia="仿宋" w:cs="仿宋"/>
                <w:b w:val="0"/>
                <w:bCs w:val="0"/>
                <w:kern w:val="0"/>
                <w:sz w:val="20"/>
                <w:szCs w:val="20"/>
                <w:lang w:val="en-US" w:eastAsia="zh-CN"/>
              </w:rPr>
            </w:pPr>
          </w:p>
        </w:tc>
        <w:tc>
          <w:tcPr>
            <w:tcW w:w="5020" w:type="dxa"/>
            <w:gridSpan w:val="5"/>
            <w:noWrap w:val="0"/>
            <w:vAlign w:val="center"/>
          </w:tcPr>
          <w:p w14:paraId="1136C962">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其他资金：</w:t>
            </w:r>
          </w:p>
        </w:tc>
        <w:tc>
          <w:tcPr>
            <w:tcW w:w="3599" w:type="dxa"/>
            <w:gridSpan w:val="5"/>
            <w:noWrap w:val="0"/>
            <w:vAlign w:val="center"/>
          </w:tcPr>
          <w:p w14:paraId="1D7A9563">
            <w:pPr>
              <w:widowControl/>
              <w:jc w:val="center"/>
              <w:rPr>
                <w:rFonts w:hint="eastAsia" w:ascii="仿宋" w:hAnsi="仿宋" w:eastAsia="仿宋" w:cs="仿宋"/>
                <w:b w:val="0"/>
                <w:bCs w:val="0"/>
                <w:kern w:val="0"/>
                <w:sz w:val="20"/>
                <w:szCs w:val="20"/>
                <w:lang w:val="en-US" w:eastAsia="zh-CN"/>
              </w:rPr>
            </w:pPr>
          </w:p>
        </w:tc>
      </w:tr>
      <w:tr w14:paraId="6F79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restart"/>
            <w:noWrap w:val="0"/>
            <w:vAlign w:val="center"/>
          </w:tcPr>
          <w:p w14:paraId="03905D4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年度总体目标</w:t>
            </w:r>
          </w:p>
        </w:tc>
        <w:tc>
          <w:tcPr>
            <w:tcW w:w="5020" w:type="dxa"/>
            <w:gridSpan w:val="5"/>
            <w:noWrap w:val="0"/>
            <w:vAlign w:val="center"/>
          </w:tcPr>
          <w:p w14:paraId="29DDD66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预期目标</w:t>
            </w:r>
          </w:p>
        </w:tc>
        <w:tc>
          <w:tcPr>
            <w:tcW w:w="3599" w:type="dxa"/>
            <w:gridSpan w:val="5"/>
            <w:noWrap w:val="0"/>
            <w:vAlign w:val="center"/>
          </w:tcPr>
          <w:p w14:paraId="7202736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实际完成情况　</w:t>
            </w:r>
          </w:p>
        </w:tc>
      </w:tr>
      <w:tr w14:paraId="4B2C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jc w:val="center"/>
        </w:trPr>
        <w:tc>
          <w:tcPr>
            <w:tcW w:w="1145" w:type="dxa"/>
            <w:vMerge w:val="continue"/>
            <w:noWrap w:val="0"/>
            <w:vAlign w:val="center"/>
          </w:tcPr>
          <w:p w14:paraId="01AED2DF">
            <w:pPr>
              <w:widowControl/>
              <w:jc w:val="center"/>
              <w:rPr>
                <w:rFonts w:hint="eastAsia" w:ascii="仿宋" w:hAnsi="仿宋" w:eastAsia="仿宋" w:cs="仿宋"/>
                <w:b w:val="0"/>
                <w:bCs w:val="0"/>
                <w:kern w:val="0"/>
                <w:sz w:val="20"/>
                <w:szCs w:val="20"/>
                <w:lang w:val="en-US" w:eastAsia="zh-CN"/>
              </w:rPr>
            </w:pPr>
          </w:p>
        </w:tc>
        <w:tc>
          <w:tcPr>
            <w:tcW w:w="5020" w:type="dxa"/>
            <w:gridSpan w:val="5"/>
            <w:noWrap w:val="0"/>
            <w:vAlign w:val="center"/>
          </w:tcPr>
          <w:p w14:paraId="6B4FE15F">
            <w:pPr>
              <w:widowControl/>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贯彻落实国家防震减灾工作方针、政策，拟订全市防震减灾规划，负责监督、检查全市防震减灾工作；建设并监督管理全市地震监测预警和群测群防工作体系。拟订并监督管理破坏性地震应急预案和地震应急避难场所规划；负责和监督管理全市建设工程抗震设防标准和要求；参与本行政区域内建设工程抗震设防专项审查与竣工验收的监督管理工作；会同相关部门开展防震减灾宣传教育工作。指导并监督县（市、区）防震减灾工作；监督管理本行政区域内县（市、区）地震台（站）业务工作。　　</w:t>
            </w:r>
          </w:p>
        </w:tc>
        <w:tc>
          <w:tcPr>
            <w:tcW w:w="3599" w:type="dxa"/>
            <w:gridSpan w:val="5"/>
            <w:noWrap w:val="0"/>
            <w:vAlign w:val="center"/>
          </w:tcPr>
          <w:p w14:paraId="116EC627">
            <w:pPr>
              <w:widowControl/>
              <w:jc w:val="both"/>
              <w:rPr>
                <w:rFonts w:hint="eastAsia" w:ascii="仿宋" w:hAnsi="仿宋" w:eastAsia="仿宋" w:cs="仿宋"/>
                <w:b w:val="0"/>
                <w:bCs w:val="0"/>
                <w:kern w:val="0"/>
                <w:sz w:val="20"/>
                <w:szCs w:val="20"/>
                <w:lang w:val="en-US" w:eastAsia="zh-CN"/>
              </w:rPr>
            </w:pPr>
            <w:r>
              <w:rPr>
                <w:rFonts w:hint="default" w:ascii="仿宋" w:hAnsi="仿宋" w:eastAsia="仿宋" w:cs="仿宋"/>
                <w:b w:val="0"/>
                <w:bCs w:val="0"/>
                <w:color w:val="000000" w:themeColor="text1"/>
                <w:kern w:val="0"/>
                <w:sz w:val="20"/>
                <w:szCs w:val="20"/>
                <w:lang w:val="en-US" w:eastAsia="zh-CN"/>
                <w14:textFill>
                  <w14:solidFill>
                    <w14:schemeClr w14:val="tx1"/>
                  </w14:solidFill>
                </w14:textFill>
              </w:rPr>
              <w:t>2023年，</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我单位完成以下工作</w:t>
            </w:r>
            <w:r>
              <w:rPr>
                <w:rFonts w:hint="default"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default" w:ascii="仿宋" w:hAnsi="仿宋" w:eastAsia="仿宋" w:cs="仿宋"/>
                <w:b w:val="0"/>
                <w:bCs w:val="0"/>
                <w:kern w:val="0"/>
                <w:sz w:val="20"/>
                <w:szCs w:val="20"/>
                <w:lang w:val="en-US" w:eastAsia="zh-CN"/>
              </w:rPr>
              <w:t>一、地震监测体系建设稳步推进</w:t>
            </w:r>
            <w:r>
              <w:rPr>
                <w:rFonts w:hint="eastAsia" w:ascii="仿宋" w:hAnsi="仿宋" w:eastAsia="仿宋" w:cs="仿宋"/>
                <w:b w:val="0"/>
                <w:bCs w:val="0"/>
                <w:kern w:val="0"/>
                <w:sz w:val="20"/>
                <w:szCs w:val="20"/>
                <w:lang w:val="en-US" w:eastAsia="zh-CN"/>
              </w:rPr>
              <w:t>；</w:t>
            </w:r>
            <w:r>
              <w:rPr>
                <w:rFonts w:hint="default" w:ascii="仿宋" w:hAnsi="仿宋" w:eastAsia="仿宋" w:cs="仿宋"/>
                <w:b w:val="0"/>
                <w:bCs w:val="0"/>
                <w:kern w:val="0"/>
                <w:sz w:val="20"/>
                <w:szCs w:val="20"/>
                <w:lang w:val="en-US" w:eastAsia="zh-CN"/>
              </w:rPr>
              <w:t>二、震害防御工作持续深化</w:t>
            </w:r>
            <w:r>
              <w:rPr>
                <w:rFonts w:hint="eastAsia" w:ascii="仿宋" w:hAnsi="仿宋" w:eastAsia="仿宋" w:cs="仿宋"/>
                <w:b w:val="0"/>
                <w:bCs w:val="0"/>
                <w:kern w:val="0"/>
                <w:sz w:val="20"/>
                <w:szCs w:val="20"/>
                <w:lang w:val="en-US" w:eastAsia="zh-CN"/>
              </w:rPr>
              <w:t>；</w:t>
            </w:r>
            <w:r>
              <w:rPr>
                <w:rFonts w:hint="default" w:ascii="仿宋" w:hAnsi="仿宋" w:eastAsia="仿宋" w:cs="仿宋"/>
                <w:b w:val="0"/>
                <w:bCs w:val="0"/>
                <w:kern w:val="0"/>
                <w:sz w:val="20"/>
                <w:szCs w:val="20"/>
                <w:lang w:val="en-US" w:eastAsia="zh-CN"/>
              </w:rPr>
              <w:t>三、防震减灾科普工作富有成效</w:t>
            </w:r>
            <w:r>
              <w:rPr>
                <w:rFonts w:hint="eastAsia" w:ascii="仿宋" w:hAnsi="仿宋" w:eastAsia="仿宋" w:cs="仿宋"/>
                <w:b w:val="0"/>
                <w:bCs w:val="0"/>
                <w:kern w:val="0"/>
                <w:sz w:val="20"/>
                <w:szCs w:val="20"/>
                <w:lang w:val="en-US" w:eastAsia="zh-CN"/>
              </w:rPr>
              <w:t>；</w:t>
            </w:r>
          </w:p>
          <w:p w14:paraId="6CD226DA">
            <w:pPr>
              <w:widowControl/>
              <w:jc w:val="both"/>
              <w:rPr>
                <w:rFonts w:hint="eastAsia"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四、地震应急体系逐步建立</w:t>
            </w:r>
            <w:r>
              <w:rPr>
                <w:rFonts w:hint="eastAsia" w:ascii="仿宋" w:hAnsi="仿宋" w:eastAsia="仿宋" w:cs="仿宋"/>
                <w:b w:val="0"/>
                <w:bCs w:val="0"/>
                <w:kern w:val="0"/>
                <w:sz w:val="20"/>
                <w:szCs w:val="20"/>
                <w:lang w:val="en-US" w:eastAsia="zh-CN"/>
              </w:rPr>
              <w:t>；</w:t>
            </w:r>
          </w:p>
          <w:p w14:paraId="5126DDD0">
            <w:pPr>
              <w:widowControl/>
              <w:jc w:val="both"/>
              <w:rPr>
                <w:rFonts w:hint="eastAsia"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五、防震减灾体制机制建设不断加强</w:t>
            </w:r>
            <w:r>
              <w:rPr>
                <w:rFonts w:hint="eastAsia" w:ascii="仿宋" w:hAnsi="仿宋" w:eastAsia="仿宋" w:cs="仿宋"/>
                <w:b w:val="0"/>
                <w:bCs w:val="0"/>
                <w:kern w:val="0"/>
                <w:sz w:val="20"/>
                <w:szCs w:val="20"/>
                <w:lang w:val="en-US" w:eastAsia="zh-CN"/>
              </w:rPr>
              <w:t>。</w:t>
            </w:r>
          </w:p>
          <w:p w14:paraId="6D7B0A77">
            <w:pPr>
              <w:widowControl/>
              <w:jc w:val="both"/>
              <w:rPr>
                <w:rFonts w:hint="default" w:ascii="仿宋" w:hAnsi="仿宋" w:eastAsia="仿宋" w:cs="仿宋"/>
                <w:b w:val="0"/>
                <w:bCs w:val="0"/>
                <w:kern w:val="0"/>
                <w:sz w:val="20"/>
                <w:szCs w:val="20"/>
                <w:lang w:val="en-US" w:eastAsia="zh-CN"/>
              </w:rPr>
            </w:pPr>
          </w:p>
          <w:p w14:paraId="28BAA81B">
            <w:pPr>
              <w:widowControl/>
              <w:jc w:val="center"/>
              <w:rPr>
                <w:rFonts w:hint="eastAsia" w:ascii="仿宋" w:hAnsi="仿宋" w:eastAsia="仿宋" w:cs="仿宋"/>
                <w:b w:val="0"/>
                <w:bCs w:val="0"/>
                <w:kern w:val="0"/>
                <w:sz w:val="20"/>
                <w:szCs w:val="20"/>
                <w:lang w:val="en-US" w:eastAsia="zh-CN"/>
              </w:rPr>
            </w:pPr>
          </w:p>
        </w:tc>
      </w:tr>
      <w:tr w14:paraId="2332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5" w:type="dxa"/>
            <w:vMerge w:val="restart"/>
            <w:noWrap w:val="0"/>
            <w:vAlign w:val="center"/>
          </w:tcPr>
          <w:p w14:paraId="3B0423E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绩</w:t>
            </w:r>
          </w:p>
          <w:p w14:paraId="766193D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效</w:t>
            </w:r>
          </w:p>
          <w:p w14:paraId="7B097CA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指</w:t>
            </w:r>
          </w:p>
          <w:p w14:paraId="1A53F28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标</w:t>
            </w:r>
          </w:p>
        </w:tc>
        <w:tc>
          <w:tcPr>
            <w:tcW w:w="1153" w:type="dxa"/>
            <w:noWrap w:val="0"/>
            <w:vAlign w:val="center"/>
          </w:tcPr>
          <w:p w14:paraId="18A575F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一级指标</w:t>
            </w:r>
          </w:p>
        </w:tc>
        <w:tc>
          <w:tcPr>
            <w:tcW w:w="1099" w:type="dxa"/>
            <w:noWrap w:val="0"/>
            <w:vAlign w:val="center"/>
          </w:tcPr>
          <w:p w14:paraId="5B31220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二级指标</w:t>
            </w:r>
          </w:p>
        </w:tc>
        <w:tc>
          <w:tcPr>
            <w:tcW w:w="1677" w:type="dxa"/>
            <w:gridSpan w:val="2"/>
            <w:noWrap w:val="0"/>
            <w:vAlign w:val="center"/>
          </w:tcPr>
          <w:p w14:paraId="13B0D775">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三级指标</w:t>
            </w:r>
          </w:p>
        </w:tc>
        <w:tc>
          <w:tcPr>
            <w:tcW w:w="1091" w:type="dxa"/>
            <w:noWrap w:val="0"/>
            <w:vAlign w:val="center"/>
          </w:tcPr>
          <w:p w14:paraId="283C42B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年度</w:t>
            </w:r>
          </w:p>
          <w:p w14:paraId="7F5C278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指标值</w:t>
            </w:r>
          </w:p>
        </w:tc>
        <w:tc>
          <w:tcPr>
            <w:tcW w:w="1121" w:type="dxa"/>
            <w:noWrap w:val="0"/>
            <w:vAlign w:val="center"/>
          </w:tcPr>
          <w:p w14:paraId="4630BAF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实际</w:t>
            </w:r>
          </w:p>
          <w:p w14:paraId="6AF9E905">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完成值</w:t>
            </w:r>
          </w:p>
        </w:tc>
        <w:tc>
          <w:tcPr>
            <w:tcW w:w="701" w:type="dxa"/>
            <w:noWrap w:val="0"/>
            <w:vAlign w:val="center"/>
          </w:tcPr>
          <w:p w14:paraId="5113925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分值</w:t>
            </w:r>
          </w:p>
        </w:tc>
        <w:tc>
          <w:tcPr>
            <w:tcW w:w="616" w:type="dxa"/>
            <w:noWrap w:val="0"/>
            <w:vAlign w:val="center"/>
          </w:tcPr>
          <w:p w14:paraId="2E688EF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得分</w:t>
            </w:r>
          </w:p>
        </w:tc>
        <w:tc>
          <w:tcPr>
            <w:tcW w:w="1161" w:type="dxa"/>
            <w:gridSpan w:val="2"/>
            <w:noWrap w:val="0"/>
            <w:vAlign w:val="top"/>
          </w:tcPr>
          <w:p w14:paraId="6D58A99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偏差原因</w:t>
            </w:r>
          </w:p>
          <w:p w14:paraId="023708F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分析及</w:t>
            </w:r>
          </w:p>
          <w:p w14:paraId="0E38AB6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改进措施</w:t>
            </w:r>
          </w:p>
        </w:tc>
      </w:tr>
      <w:tr w14:paraId="3055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0CC2F077">
            <w:pPr>
              <w:widowControl/>
              <w:jc w:val="center"/>
              <w:rPr>
                <w:rFonts w:hint="eastAsia" w:ascii="仿宋" w:hAnsi="仿宋" w:eastAsia="仿宋" w:cs="仿宋"/>
                <w:b w:val="0"/>
                <w:bCs w:val="0"/>
                <w:kern w:val="0"/>
                <w:sz w:val="20"/>
                <w:szCs w:val="20"/>
                <w:lang w:val="en-US" w:eastAsia="zh-CN"/>
              </w:rPr>
            </w:pPr>
          </w:p>
        </w:tc>
        <w:tc>
          <w:tcPr>
            <w:tcW w:w="1153" w:type="dxa"/>
            <w:vMerge w:val="restart"/>
            <w:noWrap w:val="0"/>
            <w:vAlign w:val="center"/>
          </w:tcPr>
          <w:p w14:paraId="215E7DF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产出指标</w:t>
            </w:r>
          </w:p>
          <w:p w14:paraId="147607C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（50分)</w:t>
            </w:r>
          </w:p>
        </w:tc>
        <w:tc>
          <w:tcPr>
            <w:tcW w:w="1099" w:type="dxa"/>
            <w:vMerge w:val="restart"/>
            <w:noWrap w:val="0"/>
            <w:vAlign w:val="center"/>
          </w:tcPr>
          <w:p w14:paraId="5EE22D9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数量</w:t>
            </w:r>
          </w:p>
          <w:p w14:paraId="273891E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指标</w:t>
            </w:r>
          </w:p>
        </w:tc>
        <w:tc>
          <w:tcPr>
            <w:tcW w:w="1677" w:type="dxa"/>
            <w:gridSpan w:val="2"/>
            <w:noWrap w:val="0"/>
            <w:vAlign w:val="center"/>
          </w:tcPr>
          <w:p w14:paraId="7F619290">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设立市级地震宏观观测点</w:t>
            </w:r>
          </w:p>
        </w:tc>
        <w:tc>
          <w:tcPr>
            <w:tcW w:w="1091" w:type="dxa"/>
            <w:noWrap w:val="0"/>
            <w:vAlign w:val="center"/>
          </w:tcPr>
          <w:p w14:paraId="39001C3B">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　13个</w:t>
            </w:r>
          </w:p>
        </w:tc>
        <w:tc>
          <w:tcPr>
            <w:tcW w:w="1121" w:type="dxa"/>
            <w:noWrap w:val="0"/>
            <w:vAlign w:val="center"/>
          </w:tcPr>
          <w:p w14:paraId="43D4622D">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　13个</w:t>
            </w:r>
          </w:p>
        </w:tc>
        <w:tc>
          <w:tcPr>
            <w:tcW w:w="701" w:type="dxa"/>
            <w:noWrap w:val="0"/>
            <w:vAlign w:val="center"/>
          </w:tcPr>
          <w:p w14:paraId="31A2A1EE">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　10</w:t>
            </w:r>
          </w:p>
        </w:tc>
        <w:tc>
          <w:tcPr>
            <w:tcW w:w="616" w:type="dxa"/>
            <w:noWrap w:val="0"/>
            <w:vAlign w:val="center"/>
          </w:tcPr>
          <w:p w14:paraId="6AEA7628">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10　</w:t>
            </w:r>
          </w:p>
        </w:tc>
        <w:tc>
          <w:tcPr>
            <w:tcW w:w="1161" w:type="dxa"/>
            <w:gridSpan w:val="2"/>
            <w:noWrap w:val="0"/>
            <w:vAlign w:val="center"/>
          </w:tcPr>
          <w:p w14:paraId="1616934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6860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2DDD4679">
            <w:pPr>
              <w:widowControl/>
              <w:jc w:val="center"/>
              <w:rPr>
                <w:rFonts w:hint="eastAsia" w:ascii="仿宋" w:hAnsi="仿宋" w:eastAsia="仿宋" w:cs="仿宋"/>
                <w:b w:val="0"/>
                <w:bCs w:val="0"/>
                <w:kern w:val="0"/>
                <w:sz w:val="20"/>
                <w:szCs w:val="20"/>
                <w:lang w:val="en-US" w:eastAsia="zh-CN"/>
              </w:rPr>
            </w:pPr>
          </w:p>
        </w:tc>
        <w:tc>
          <w:tcPr>
            <w:tcW w:w="1153" w:type="dxa"/>
            <w:vMerge w:val="continue"/>
            <w:noWrap w:val="0"/>
            <w:vAlign w:val="center"/>
          </w:tcPr>
          <w:p w14:paraId="036FAF5B">
            <w:pPr>
              <w:widowControl/>
              <w:jc w:val="center"/>
              <w:rPr>
                <w:rFonts w:hint="eastAsia" w:ascii="仿宋" w:hAnsi="仿宋" w:eastAsia="仿宋" w:cs="仿宋"/>
                <w:b w:val="0"/>
                <w:bCs w:val="0"/>
                <w:kern w:val="0"/>
                <w:sz w:val="20"/>
                <w:szCs w:val="20"/>
                <w:lang w:val="en-US" w:eastAsia="zh-CN"/>
              </w:rPr>
            </w:pPr>
          </w:p>
        </w:tc>
        <w:tc>
          <w:tcPr>
            <w:tcW w:w="1099" w:type="dxa"/>
            <w:vMerge w:val="continue"/>
            <w:noWrap w:val="0"/>
            <w:vAlign w:val="center"/>
          </w:tcPr>
          <w:p w14:paraId="3E14B151">
            <w:pPr>
              <w:widowControl/>
              <w:jc w:val="center"/>
              <w:rPr>
                <w:rFonts w:hint="eastAsia" w:ascii="仿宋" w:hAnsi="仿宋" w:eastAsia="仿宋" w:cs="仿宋"/>
                <w:b w:val="0"/>
                <w:bCs w:val="0"/>
                <w:kern w:val="0"/>
                <w:sz w:val="20"/>
                <w:szCs w:val="20"/>
                <w:lang w:val="en-US" w:eastAsia="zh-CN"/>
              </w:rPr>
            </w:pPr>
          </w:p>
        </w:tc>
        <w:tc>
          <w:tcPr>
            <w:tcW w:w="1677" w:type="dxa"/>
            <w:gridSpan w:val="2"/>
            <w:noWrap w:val="0"/>
            <w:vAlign w:val="center"/>
          </w:tcPr>
          <w:p w14:paraId="4D4D47F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创建市级防震减灾示范校</w:t>
            </w:r>
          </w:p>
        </w:tc>
        <w:tc>
          <w:tcPr>
            <w:tcW w:w="1091" w:type="dxa"/>
            <w:noWrap w:val="0"/>
            <w:vAlign w:val="center"/>
          </w:tcPr>
          <w:p w14:paraId="3197CA5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5所</w:t>
            </w:r>
          </w:p>
        </w:tc>
        <w:tc>
          <w:tcPr>
            <w:tcW w:w="1121" w:type="dxa"/>
            <w:noWrap w:val="0"/>
            <w:vAlign w:val="center"/>
          </w:tcPr>
          <w:p w14:paraId="3DBD4C1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5所</w:t>
            </w:r>
          </w:p>
        </w:tc>
        <w:tc>
          <w:tcPr>
            <w:tcW w:w="701" w:type="dxa"/>
            <w:noWrap w:val="0"/>
            <w:vAlign w:val="center"/>
          </w:tcPr>
          <w:p w14:paraId="79BFF0A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10</w:t>
            </w:r>
          </w:p>
        </w:tc>
        <w:tc>
          <w:tcPr>
            <w:tcW w:w="616" w:type="dxa"/>
            <w:noWrap w:val="0"/>
            <w:vAlign w:val="center"/>
          </w:tcPr>
          <w:p w14:paraId="465B311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10</w:t>
            </w:r>
          </w:p>
        </w:tc>
        <w:tc>
          <w:tcPr>
            <w:tcW w:w="1161" w:type="dxa"/>
            <w:gridSpan w:val="2"/>
            <w:noWrap w:val="0"/>
            <w:vAlign w:val="center"/>
          </w:tcPr>
          <w:p w14:paraId="0F05FE7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21C4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7710D693">
            <w:pPr>
              <w:widowControl/>
              <w:jc w:val="center"/>
              <w:rPr>
                <w:rFonts w:hint="eastAsia" w:ascii="仿宋" w:hAnsi="仿宋" w:eastAsia="仿宋" w:cs="仿宋"/>
                <w:b w:val="0"/>
                <w:bCs w:val="0"/>
                <w:kern w:val="0"/>
                <w:sz w:val="20"/>
                <w:szCs w:val="20"/>
                <w:lang w:val="en-US" w:eastAsia="zh-CN"/>
              </w:rPr>
            </w:pPr>
          </w:p>
        </w:tc>
        <w:tc>
          <w:tcPr>
            <w:tcW w:w="1153" w:type="dxa"/>
            <w:vMerge w:val="continue"/>
            <w:noWrap w:val="0"/>
            <w:vAlign w:val="center"/>
          </w:tcPr>
          <w:p w14:paraId="30962F27">
            <w:pPr>
              <w:widowControl/>
              <w:jc w:val="center"/>
              <w:rPr>
                <w:rFonts w:hint="eastAsia" w:ascii="仿宋" w:hAnsi="仿宋" w:eastAsia="仿宋" w:cs="仿宋"/>
                <w:b w:val="0"/>
                <w:bCs w:val="0"/>
                <w:kern w:val="0"/>
                <w:sz w:val="20"/>
                <w:szCs w:val="20"/>
                <w:lang w:val="en-US" w:eastAsia="zh-CN"/>
              </w:rPr>
            </w:pPr>
          </w:p>
        </w:tc>
        <w:tc>
          <w:tcPr>
            <w:tcW w:w="1099" w:type="dxa"/>
            <w:noWrap w:val="0"/>
            <w:vAlign w:val="center"/>
          </w:tcPr>
          <w:p w14:paraId="4AD57DA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质量</w:t>
            </w:r>
          </w:p>
          <w:p w14:paraId="7EA1392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指标</w:t>
            </w:r>
          </w:p>
        </w:tc>
        <w:tc>
          <w:tcPr>
            <w:tcW w:w="1677" w:type="dxa"/>
            <w:gridSpan w:val="2"/>
            <w:noWrap w:val="0"/>
            <w:vAlign w:val="center"/>
          </w:tcPr>
          <w:p w14:paraId="4305C7D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完成达标率</w:t>
            </w:r>
          </w:p>
        </w:tc>
        <w:tc>
          <w:tcPr>
            <w:tcW w:w="1091" w:type="dxa"/>
            <w:noWrap w:val="0"/>
            <w:vAlign w:val="center"/>
          </w:tcPr>
          <w:p w14:paraId="6F1E7C4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优秀</w:t>
            </w:r>
          </w:p>
        </w:tc>
        <w:tc>
          <w:tcPr>
            <w:tcW w:w="1121" w:type="dxa"/>
            <w:noWrap w:val="0"/>
            <w:vAlign w:val="center"/>
          </w:tcPr>
          <w:p w14:paraId="015A9CF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优秀</w:t>
            </w:r>
          </w:p>
        </w:tc>
        <w:tc>
          <w:tcPr>
            <w:tcW w:w="701" w:type="dxa"/>
            <w:noWrap w:val="0"/>
            <w:vAlign w:val="center"/>
          </w:tcPr>
          <w:p w14:paraId="0A1B83E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616" w:type="dxa"/>
            <w:noWrap w:val="0"/>
            <w:vAlign w:val="center"/>
          </w:tcPr>
          <w:p w14:paraId="3C68A34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161" w:type="dxa"/>
            <w:gridSpan w:val="2"/>
            <w:noWrap w:val="0"/>
            <w:vAlign w:val="center"/>
          </w:tcPr>
          <w:p w14:paraId="4EFC5CB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24C1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754CC5FC">
            <w:pPr>
              <w:widowControl/>
              <w:jc w:val="center"/>
              <w:rPr>
                <w:rFonts w:hint="eastAsia" w:ascii="仿宋" w:hAnsi="仿宋" w:eastAsia="仿宋" w:cs="仿宋"/>
                <w:b w:val="0"/>
                <w:bCs w:val="0"/>
                <w:kern w:val="0"/>
                <w:sz w:val="20"/>
                <w:szCs w:val="20"/>
                <w:lang w:val="en-US" w:eastAsia="zh-CN"/>
              </w:rPr>
            </w:pPr>
          </w:p>
        </w:tc>
        <w:tc>
          <w:tcPr>
            <w:tcW w:w="1153" w:type="dxa"/>
            <w:vMerge w:val="continue"/>
            <w:noWrap w:val="0"/>
            <w:vAlign w:val="center"/>
          </w:tcPr>
          <w:p w14:paraId="30BFD094">
            <w:pPr>
              <w:widowControl/>
              <w:jc w:val="center"/>
              <w:rPr>
                <w:rFonts w:hint="eastAsia" w:ascii="仿宋" w:hAnsi="仿宋" w:eastAsia="仿宋" w:cs="仿宋"/>
                <w:b w:val="0"/>
                <w:bCs w:val="0"/>
                <w:kern w:val="0"/>
                <w:sz w:val="20"/>
                <w:szCs w:val="20"/>
                <w:lang w:val="en-US" w:eastAsia="zh-CN"/>
              </w:rPr>
            </w:pPr>
          </w:p>
        </w:tc>
        <w:tc>
          <w:tcPr>
            <w:tcW w:w="1099" w:type="dxa"/>
            <w:noWrap w:val="0"/>
            <w:vAlign w:val="center"/>
          </w:tcPr>
          <w:p w14:paraId="1636A3B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时效</w:t>
            </w:r>
          </w:p>
          <w:p w14:paraId="74A0A73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指标</w:t>
            </w:r>
          </w:p>
        </w:tc>
        <w:tc>
          <w:tcPr>
            <w:tcW w:w="1677" w:type="dxa"/>
            <w:gridSpan w:val="2"/>
            <w:noWrap w:val="0"/>
            <w:vAlign w:val="center"/>
          </w:tcPr>
          <w:p w14:paraId="43B71395">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完成及时率</w:t>
            </w:r>
          </w:p>
        </w:tc>
        <w:tc>
          <w:tcPr>
            <w:tcW w:w="1091" w:type="dxa"/>
            <w:noWrap w:val="0"/>
            <w:vAlign w:val="center"/>
          </w:tcPr>
          <w:p w14:paraId="5B6660D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2023年12月之前完成</w:t>
            </w:r>
          </w:p>
        </w:tc>
        <w:tc>
          <w:tcPr>
            <w:tcW w:w="1121" w:type="dxa"/>
            <w:noWrap w:val="0"/>
            <w:vAlign w:val="center"/>
          </w:tcPr>
          <w:p w14:paraId="0EB5D29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2023年12月之前完成</w:t>
            </w:r>
          </w:p>
        </w:tc>
        <w:tc>
          <w:tcPr>
            <w:tcW w:w="701" w:type="dxa"/>
            <w:noWrap w:val="0"/>
            <w:vAlign w:val="center"/>
          </w:tcPr>
          <w:p w14:paraId="4DFFD1B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616" w:type="dxa"/>
            <w:noWrap w:val="0"/>
            <w:vAlign w:val="center"/>
          </w:tcPr>
          <w:p w14:paraId="71B93A6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161" w:type="dxa"/>
            <w:gridSpan w:val="2"/>
            <w:noWrap w:val="0"/>
            <w:vAlign w:val="center"/>
          </w:tcPr>
          <w:p w14:paraId="6D0B604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5FCA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7D9FD8D9">
            <w:pPr>
              <w:widowControl/>
              <w:jc w:val="center"/>
              <w:rPr>
                <w:rFonts w:hint="eastAsia" w:ascii="仿宋" w:hAnsi="仿宋" w:eastAsia="仿宋" w:cs="仿宋"/>
                <w:b w:val="0"/>
                <w:bCs w:val="0"/>
                <w:kern w:val="0"/>
                <w:sz w:val="20"/>
                <w:szCs w:val="20"/>
                <w:lang w:val="en-US" w:eastAsia="zh-CN"/>
              </w:rPr>
            </w:pPr>
          </w:p>
        </w:tc>
        <w:tc>
          <w:tcPr>
            <w:tcW w:w="1153" w:type="dxa"/>
            <w:vMerge w:val="continue"/>
            <w:noWrap w:val="0"/>
            <w:vAlign w:val="center"/>
          </w:tcPr>
          <w:p w14:paraId="042F8D11">
            <w:pPr>
              <w:widowControl/>
              <w:jc w:val="center"/>
              <w:rPr>
                <w:rFonts w:hint="eastAsia" w:ascii="仿宋" w:hAnsi="仿宋" w:eastAsia="仿宋" w:cs="仿宋"/>
                <w:b w:val="0"/>
                <w:bCs w:val="0"/>
                <w:kern w:val="0"/>
                <w:sz w:val="20"/>
                <w:szCs w:val="20"/>
                <w:lang w:val="en-US" w:eastAsia="zh-CN"/>
              </w:rPr>
            </w:pPr>
          </w:p>
        </w:tc>
        <w:tc>
          <w:tcPr>
            <w:tcW w:w="1099" w:type="dxa"/>
            <w:noWrap w:val="0"/>
            <w:vAlign w:val="center"/>
          </w:tcPr>
          <w:p w14:paraId="243BCF0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成本</w:t>
            </w:r>
          </w:p>
          <w:p w14:paraId="453BDD1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指标</w:t>
            </w:r>
          </w:p>
        </w:tc>
        <w:tc>
          <w:tcPr>
            <w:tcW w:w="1677" w:type="dxa"/>
            <w:gridSpan w:val="2"/>
            <w:noWrap w:val="0"/>
            <w:vAlign w:val="center"/>
          </w:tcPr>
          <w:p w14:paraId="66B02556">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项目成本控制额</w:t>
            </w:r>
          </w:p>
        </w:tc>
        <w:tc>
          <w:tcPr>
            <w:tcW w:w="1091" w:type="dxa"/>
            <w:noWrap w:val="0"/>
            <w:vAlign w:val="center"/>
          </w:tcPr>
          <w:p w14:paraId="24F49087">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≤196.26万元</w:t>
            </w:r>
          </w:p>
        </w:tc>
        <w:tc>
          <w:tcPr>
            <w:tcW w:w="1121" w:type="dxa"/>
            <w:noWrap w:val="0"/>
            <w:vAlign w:val="center"/>
          </w:tcPr>
          <w:p w14:paraId="72D91BF9">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190.57万元</w:t>
            </w:r>
          </w:p>
        </w:tc>
        <w:tc>
          <w:tcPr>
            <w:tcW w:w="701" w:type="dxa"/>
            <w:noWrap w:val="0"/>
            <w:vAlign w:val="center"/>
          </w:tcPr>
          <w:p w14:paraId="39CE42E9">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10</w:t>
            </w:r>
          </w:p>
        </w:tc>
        <w:tc>
          <w:tcPr>
            <w:tcW w:w="616" w:type="dxa"/>
            <w:noWrap w:val="0"/>
            <w:vAlign w:val="center"/>
          </w:tcPr>
          <w:p w14:paraId="1EBB3C7E">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10</w:t>
            </w:r>
          </w:p>
        </w:tc>
        <w:tc>
          <w:tcPr>
            <w:tcW w:w="1161" w:type="dxa"/>
            <w:gridSpan w:val="2"/>
            <w:noWrap w:val="0"/>
            <w:vAlign w:val="center"/>
          </w:tcPr>
          <w:p w14:paraId="5553257E">
            <w:pPr>
              <w:widowControl/>
              <w:jc w:val="center"/>
              <w:rPr>
                <w:rFonts w:hint="default" w:ascii="仿宋" w:hAnsi="仿宋" w:eastAsia="仿宋" w:cs="仿宋"/>
                <w:b w:val="0"/>
                <w:bCs w:val="0"/>
                <w:kern w:val="0"/>
                <w:sz w:val="20"/>
                <w:szCs w:val="20"/>
                <w:lang w:val="en-US" w:eastAsia="zh-CN"/>
              </w:rPr>
            </w:pPr>
          </w:p>
        </w:tc>
      </w:tr>
      <w:tr w14:paraId="27AB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18B0233F">
            <w:pPr>
              <w:widowControl/>
              <w:jc w:val="center"/>
              <w:rPr>
                <w:rFonts w:hint="eastAsia" w:ascii="仿宋" w:hAnsi="仿宋" w:eastAsia="仿宋" w:cs="仿宋"/>
                <w:b w:val="0"/>
                <w:bCs w:val="0"/>
                <w:kern w:val="0"/>
                <w:sz w:val="20"/>
                <w:szCs w:val="20"/>
                <w:lang w:val="en-US" w:eastAsia="zh-CN"/>
              </w:rPr>
            </w:pPr>
          </w:p>
        </w:tc>
        <w:tc>
          <w:tcPr>
            <w:tcW w:w="1153" w:type="dxa"/>
            <w:vMerge w:val="restart"/>
            <w:noWrap w:val="0"/>
            <w:vAlign w:val="center"/>
          </w:tcPr>
          <w:p w14:paraId="6DBE41A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效益指标</w:t>
            </w:r>
          </w:p>
          <w:p w14:paraId="4071870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（30分）</w:t>
            </w:r>
          </w:p>
        </w:tc>
        <w:tc>
          <w:tcPr>
            <w:tcW w:w="1099" w:type="dxa"/>
            <w:noWrap w:val="0"/>
            <w:vAlign w:val="center"/>
          </w:tcPr>
          <w:p w14:paraId="1A10688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经济效</w:t>
            </w:r>
          </w:p>
          <w:p w14:paraId="6B505CE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益指标</w:t>
            </w:r>
          </w:p>
        </w:tc>
        <w:tc>
          <w:tcPr>
            <w:tcW w:w="1677" w:type="dxa"/>
            <w:gridSpan w:val="2"/>
            <w:noWrap w:val="0"/>
            <w:vAlign w:val="center"/>
          </w:tcPr>
          <w:p w14:paraId="0DCC9075">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减轻地震带来的损失</w:t>
            </w:r>
          </w:p>
        </w:tc>
        <w:tc>
          <w:tcPr>
            <w:tcW w:w="1091" w:type="dxa"/>
            <w:noWrap w:val="0"/>
            <w:vAlign w:val="center"/>
          </w:tcPr>
          <w:p w14:paraId="2A3ACCC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效果明显</w:t>
            </w:r>
          </w:p>
        </w:tc>
        <w:tc>
          <w:tcPr>
            <w:tcW w:w="1121" w:type="dxa"/>
            <w:noWrap w:val="0"/>
            <w:vAlign w:val="center"/>
          </w:tcPr>
          <w:p w14:paraId="43F2301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效果明显</w:t>
            </w:r>
          </w:p>
        </w:tc>
        <w:tc>
          <w:tcPr>
            <w:tcW w:w="701" w:type="dxa"/>
            <w:noWrap w:val="0"/>
            <w:vAlign w:val="center"/>
          </w:tcPr>
          <w:p w14:paraId="0736C85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616" w:type="dxa"/>
            <w:noWrap w:val="0"/>
            <w:vAlign w:val="center"/>
          </w:tcPr>
          <w:p w14:paraId="5ED9B2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161" w:type="dxa"/>
            <w:gridSpan w:val="2"/>
            <w:noWrap w:val="0"/>
            <w:vAlign w:val="center"/>
          </w:tcPr>
          <w:p w14:paraId="52CE5BD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2C37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28E76A53">
            <w:pPr>
              <w:widowControl/>
              <w:jc w:val="center"/>
              <w:rPr>
                <w:rFonts w:hint="eastAsia" w:ascii="仿宋" w:hAnsi="仿宋" w:eastAsia="仿宋" w:cs="仿宋"/>
                <w:b w:val="0"/>
                <w:bCs w:val="0"/>
                <w:kern w:val="0"/>
                <w:sz w:val="20"/>
                <w:szCs w:val="20"/>
                <w:lang w:val="en-US" w:eastAsia="zh-CN"/>
              </w:rPr>
            </w:pPr>
          </w:p>
        </w:tc>
        <w:tc>
          <w:tcPr>
            <w:tcW w:w="1153" w:type="dxa"/>
            <w:vMerge w:val="continue"/>
            <w:noWrap w:val="0"/>
            <w:vAlign w:val="center"/>
          </w:tcPr>
          <w:p w14:paraId="4503535E">
            <w:pPr>
              <w:widowControl/>
              <w:jc w:val="center"/>
              <w:rPr>
                <w:rFonts w:hint="eastAsia" w:ascii="仿宋" w:hAnsi="仿宋" w:eastAsia="仿宋" w:cs="仿宋"/>
                <w:b w:val="0"/>
                <w:bCs w:val="0"/>
                <w:kern w:val="0"/>
                <w:sz w:val="20"/>
                <w:szCs w:val="20"/>
                <w:lang w:val="en-US" w:eastAsia="zh-CN"/>
              </w:rPr>
            </w:pPr>
          </w:p>
        </w:tc>
        <w:tc>
          <w:tcPr>
            <w:tcW w:w="1099" w:type="dxa"/>
            <w:noWrap w:val="0"/>
            <w:vAlign w:val="center"/>
          </w:tcPr>
          <w:p w14:paraId="02DAF192">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社会效</w:t>
            </w:r>
          </w:p>
          <w:p w14:paraId="702BC7B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益指标</w:t>
            </w:r>
          </w:p>
        </w:tc>
        <w:tc>
          <w:tcPr>
            <w:tcW w:w="1677" w:type="dxa"/>
            <w:gridSpan w:val="2"/>
            <w:noWrap w:val="0"/>
            <w:vAlign w:val="center"/>
          </w:tcPr>
          <w:p w14:paraId="5429BA4C">
            <w:pPr>
              <w:widowControl/>
              <w:jc w:val="center"/>
              <w:rPr>
                <w:rFonts w:hint="eastAsia"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防震减灾体制机制建设不断加强</w:t>
            </w:r>
          </w:p>
        </w:tc>
        <w:tc>
          <w:tcPr>
            <w:tcW w:w="1091" w:type="dxa"/>
            <w:noWrap w:val="0"/>
            <w:vAlign w:val="center"/>
          </w:tcPr>
          <w:p w14:paraId="56D0981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效果明显</w:t>
            </w:r>
          </w:p>
        </w:tc>
        <w:tc>
          <w:tcPr>
            <w:tcW w:w="1121" w:type="dxa"/>
            <w:noWrap w:val="0"/>
            <w:vAlign w:val="center"/>
          </w:tcPr>
          <w:p w14:paraId="6849218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效果良好</w:t>
            </w:r>
          </w:p>
        </w:tc>
        <w:tc>
          <w:tcPr>
            <w:tcW w:w="701" w:type="dxa"/>
            <w:noWrap w:val="0"/>
            <w:vAlign w:val="center"/>
          </w:tcPr>
          <w:p w14:paraId="233A294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616" w:type="dxa"/>
            <w:noWrap w:val="0"/>
            <w:vAlign w:val="center"/>
          </w:tcPr>
          <w:p w14:paraId="429A8F7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w:t>
            </w:r>
          </w:p>
        </w:tc>
        <w:tc>
          <w:tcPr>
            <w:tcW w:w="1161" w:type="dxa"/>
            <w:gridSpan w:val="2"/>
            <w:noWrap w:val="0"/>
            <w:vAlign w:val="center"/>
          </w:tcPr>
          <w:p w14:paraId="0980599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加强防震减灾机制建设</w:t>
            </w:r>
          </w:p>
        </w:tc>
      </w:tr>
      <w:tr w14:paraId="7BDC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7AA9D2D6">
            <w:pPr>
              <w:widowControl/>
              <w:jc w:val="center"/>
              <w:rPr>
                <w:rFonts w:hint="eastAsia" w:ascii="仿宋" w:hAnsi="仿宋" w:eastAsia="仿宋" w:cs="仿宋"/>
                <w:b w:val="0"/>
                <w:bCs w:val="0"/>
                <w:kern w:val="0"/>
                <w:sz w:val="20"/>
                <w:szCs w:val="20"/>
                <w:lang w:val="en-US" w:eastAsia="zh-CN"/>
              </w:rPr>
            </w:pPr>
          </w:p>
        </w:tc>
        <w:tc>
          <w:tcPr>
            <w:tcW w:w="1153" w:type="dxa"/>
            <w:vMerge w:val="continue"/>
            <w:noWrap w:val="0"/>
            <w:vAlign w:val="center"/>
          </w:tcPr>
          <w:p w14:paraId="1EBD02A0">
            <w:pPr>
              <w:widowControl/>
              <w:jc w:val="center"/>
              <w:rPr>
                <w:rFonts w:hint="eastAsia" w:ascii="仿宋" w:hAnsi="仿宋" w:eastAsia="仿宋" w:cs="仿宋"/>
                <w:b w:val="0"/>
                <w:bCs w:val="0"/>
                <w:kern w:val="0"/>
                <w:sz w:val="20"/>
                <w:szCs w:val="20"/>
                <w:lang w:val="en-US" w:eastAsia="zh-CN"/>
              </w:rPr>
            </w:pPr>
          </w:p>
        </w:tc>
        <w:tc>
          <w:tcPr>
            <w:tcW w:w="1099" w:type="dxa"/>
            <w:noWrap w:val="0"/>
            <w:vAlign w:val="center"/>
          </w:tcPr>
          <w:p w14:paraId="662222D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生态效</w:t>
            </w:r>
          </w:p>
          <w:p w14:paraId="3F9445B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益指标</w:t>
            </w:r>
          </w:p>
        </w:tc>
        <w:tc>
          <w:tcPr>
            <w:tcW w:w="1677" w:type="dxa"/>
            <w:gridSpan w:val="2"/>
            <w:noWrap w:val="0"/>
            <w:vAlign w:val="center"/>
          </w:tcPr>
          <w:p w14:paraId="51AAB45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无</w:t>
            </w:r>
          </w:p>
        </w:tc>
        <w:tc>
          <w:tcPr>
            <w:tcW w:w="1091" w:type="dxa"/>
            <w:noWrap w:val="0"/>
            <w:vAlign w:val="center"/>
          </w:tcPr>
          <w:p w14:paraId="5D54442A">
            <w:pPr>
              <w:widowControl/>
              <w:jc w:val="center"/>
              <w:rPr>
                <w:rFonts w:hint="eastAsia" w:ascii="仿宋" w:hAnsi="仿宋" w:eastAsia="仿宋" w:cs="仿宋"/>
                <w:b w:val="0"/>
                <w:bCs w:val="0"/>
                <w:kern w:val="0"/>
                <w:sz w:val="20"/>
                <w:szCs w:val="20"/>
                <w:lang w:val="en-US" w:eastAsia="zh-CN"/>
              </w:rPr>
            </w:pPr>
          </w:p>
        </w:tc>
        <w:tc>
          <w:tcPr>
            <w:tcW w:w="1121" w:type="dxa"/>
            <w:noWrap w:val="0"/>
            <w:vAlign w:val="center"/>
          </w:tcPr>
          <w:p w14:paraId="1D696CF5">
            <w:pPr>
              <w:widowControl/>
              <w:jc w:val="center"/>
              <w:rPr>
                <w:rFonts w:hint="eastAsia" w:ascii="仿宋" w:hAnsi="仿宋" w:eastAsia="仿宋" w:cs="仿宋"/>
                <w:b w:val="0"/>
                <w:bCs w:val="0"/>
                <w:kern w:val="0"/>
                <w:sz w:val="20"/>
                <w:szCs w:val="20"/>
                <w:lang w:val="en-US" w:eastAsia="zh-CN"/>
              </w:rPr>
            </w:pPr>
          </w:p>
        </w:tc>
        <w:tc>
          <w:tcPr>
            <w:tcW w:w="701" w:type="dxa"/>
            <w:noWrap w:val="0"/>
            <w:vAlign w:val="center"/>
          </w:tcPr>
          <w:p w14:paraId="5C6E112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616" w:type="dxa"/>
            <w:noWrap w:val="0"/>
            <w:vAlign w:val="center"/>
          </w:tcPr>
          <w:p w14:paraId="0C6FB84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161" w:type="dxa"/>
            <w:gridSpan w:val="2"/>
            <w:noWrap w:val="0"/>
            <w:vAlign w:val="center"/>
          </w:tcPr>
          <w:p w14:paraId="5FBF085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4619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6957DFAD">
            <w:pPr>
              <w:widowControl/>
              <w:jc w:val="center"/>
              <w:rPr>
                <w:rFonts w:hint="eastAsia" w:ascii="仿宋" w:hAnsi="仿宋" w:eastAsia="仿宋" w:cs="仿宋"/>
                <w:b w:val="0"/>
                <w:bCs w:val="0"/>
                <w:kern w:val="0"/>
                <w:sz w:val="20"/>
                <w:szCs w:val="20"/>
                <w:lang w:val="en-US" w:eastAsia="zh-CN"/>
              </w:rPr>
            </w:pPr>
          </w:p>
        </w:tc>
        <w:tc>
          <w:tcPr>
            <w:tcW w:w="1153" w:type="dxa"/>
            <w:vMerge w:val="continue"/>
            <w:noWrap w:val="0"/>
            <w:vAlign w:val="center"/>
          </w:tcPr>
          <w:p w14:paraId="300A567B">
            <w:pPr>
              <w:widowControl/>
              <w:jc w:val="center"/>
              <w:rPr>
                <w:rFonts w:hint="eastAsia" w:ascii="仿宋" w:hAnsi="仿宋" w:eastAsia="仿宋" w:cs="仿宋"/>
                <w:b w:val="0"/>
                <w:bCs w:val="0"/>
                <w:kern w:val="0"/>
                <w:sz w:val="20"/>
                <w:szCs w:val="20"/>
                <w:lang w:val="en-US" w:eastAsia="zh-CN"/>
              </w:rPr>
            </w:pPr>
          </w:p>
        </w:tc>
        <w:tc>
          <w:tcPr>
            <w:tcW w:w="1099" w:type="dxa"/>
            <w:noWrap w:val="0"/>
            <w:vAlign w:val="center"/>
          </w:tcPr>
          <w:p w14:paraId="39C095A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可持续影响指标</w:t>
            </w:r>
          </w:p>
        </w:tc>
        <w:tc>
          <w:tcPr>
            <w:tcW w:w="1677" w:type="dxa"/>
            <w:gridSpan w:val="2"/>
            <w:noWrap w:val="0"/>
            <w:vAlign w:val="center"/>
          </w:tcPr>
          <w:p w14:paraId="1C118D0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地震应急体系逐步建立</w:t>
            </w:r>
          </w:p>
        </w:tc>
        <w:tc>
          <w:tcPr>
            <w:tcW w:w="1091" w:type="dxa"/>
            <w:noWrap w:val="0"/>
            <w:vAlign w:val="center"/>
          </w:tcPr>
          <w:p w14:paraId="29C9075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逐步完善</w:t>
            </w:r>
          </w:p>
        </w:tc>
        <w:tc>
          <w:tcPr>
            <w:tcW w:w="1121" w:type="dxa"/>
            <w:noWrap w:val="0"/>
            <w:vAlign w:val="center"/>
          </w:tcPr>
          <w:p w14:paraId="6EA2381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逐步完善</w:t>
            </w:r>
          </w:p>
        </w:tc>
        <w:tc>
          <w:tcPr>
            <w:tcW w:w="701" w:type="dxa"/>
            <w:noWrap w:val="0"/>
            <w:vAlign w:val="center"/>
          </w:tcPr>
          <w:p w14:paraId="02BECFD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616" w:type="dxa"/>
            <w:noWrap w:val="0"/>
            <w:vAlign w:val="center"/>
          </w:tcPr>
          <w:p w14:paraId="4E00828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161" w:type="dxa"/>
            <w:gridSpan w:val="2"/>
            <w:noWrap w:val="0"/>
            <w:vAlign w:val="center"/>
          </w:tcPr>
          <w:p w14:paraId="3D881D4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7E82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14:paraId="1038CCC4">
            <w:pPr>
              <w:widowControl/>
              <w:jc w:val="center"/>
              <w:rPr>
                <w:rFonts w:hint="eastAsia" w:ascii="仿宋" w:hAnsi="仿宋" w:eastAsia="仿宋" w:cs="仿宋"/>
                <w:b w:val="0"/>
                <w:bCs w:val="0"/>
                <w:kern w:val="0"/>
                <w:sz w:val="20"/>
                <w:szCs w:val="20"/>
                <w:lang w:val="en-US" w:eastAsia="zh-CN"/>
              </w:rPr>
            </w:pPr>
          </w:p>
        </w:tc>
        <w:tc>
          <w:tcPr>
            <w:tcW w:w="1153" w:type="dxa"/>
            <w:noWrap w:val="0"/>
            <w:vAlign w:val="center"/>
          </w:tcPr>
          <w:p w14:paraId="3793812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满意度</w:t>
            </w:r>
          </w:p>
          <w:p w14:paraId="4EEDF80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指标</w:t>
            </w:r>
          </w:p>
          <w:p w14:paraId="3AB549E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（10分）</w:t>
            </w:r>
          </w:p>
        </w:tc>
        <w:tc>
          <w:tcPr>
            <w:tcW w:w="1099" w:type="dxa"/>
            <w:noWrap w:val="0"/>
            <w:vAlign w:val="center"/>
          </w:tcPr>
          <w:p w14:paraId="2E8B6BF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服务对象满意度指标</w:t>
            </w:r>
          </w:p>
        </w:tc>
        <w:tc>
          <w:tcPr>
            <w:tcW w:w="1677" w:type="dxa"/>
            <w:gridSpan w:val="2"/>
            <w:noWrap w:val="0"/>
            <w:vAlign w:val="center"/>
          </w:tcPr>
          <w:p w14:paraId="332253D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社会公众满意度</w:t>
            </w:r>
          </w:p>
        </w:tc>
        <w:tc>
          <w:tcPr>
            <w:tcW w:w="1091" w:type="dxa"/>
            <w:noWrap w:val="0"/>
            <w:vAlign w:val="center"/>
          </w:tcPr>
          <w:p w14:paraId="4D3615C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≥95%</w:t>
            </w:r>
          </w:p>
        </w:tc>
        <w:tc>
          <w:tcPr>
            <w:tcW w:w="1121" w:type="dxa"/>
            <w:noWrap w:val="0"/>
            <w:vAlign w:val="center"/>
          </w:tcPr>
          <w:p w14:paraId="016B290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95%</w:t>
            </w:r>
          </w:p>
        </w:tc>
        <w:tc>
          <w:tcPr>
            <w:tcW w:w="701" w:type="dxa"/>
            <w:noWrap w:val="0"/>
            <w:vAlign w:val="center"/>
          </w:tcPr>
          <w:p w14:paraId="16794D0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616" w:type="dxa"/>
            <w:noWrap w:val="0"/>
            <w:vAlign w:val="center"/>
          </w:tcPr>
          <w:p w14:paraId="5424AC9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161" w:type="dxa"/>
            <w:gridSpan w:val="2"/>
            <w:noWrap w:val="0"/>
            <w:vAlign w:val="center"/>
          </w:tcPr>
          <w:p w14:paraId="64906D2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1E58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02" w:type="dxa"/>
          <w:trHeight w:val="340" w:hRule="atLeast"/>
          <w:jc w:val="center"/>
        </w:trPr>
        <w:tc>
          <w:tcPr>
            <w:tcW w:w="7286" w:type="dxa"/>
            <w:gridSpan w:val="7"/>
            <w:noWrap w:val="0"/>
            <w:vAlign w:val="center"/>
          </w:tcPr>
          <w:p w14:paraId="154DFDD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总分</w:t>
            </w:r>
          </w:p>
        </w:tc>
        <w:tc>
          <w:tcPr>
            <w:tcW w:w="701" w:type="dxa"/>
            <w:noWrap w:val="0"/>
            <w:vAlign w:val="center"/>
          </w:tcPr>
          <w:p w14:paraId="1CCE5CC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616" w:type="dxa"/>
            <w:noWrap w:val="0"/>
            <w:vAlign w:val="center"/>
          </w:tcPr>
          <w:p w14:paraId="3A4091C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98</w:t>
            </w:r>
          </w:p>
        </w:tc>
        <w:tc>
          <w:tcPr>
            <w:tcW w:w="659" w:type="dxa"/>
            <w:noWrap w:val="0"/>
            <w:vAlign w:val="center"/>
          </w:tcPr>
          <w:p w14:paraId="47CB8EE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bl>
    <w:p w14:paraId="4749F7A2">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填表人：</w:t>
      </w:r>
      <w:r>
        <w:rPr>
          <w:rFonts w:hint="eastAsia" w:ascii="仿宋" w:hAnsi="仿宋" w:eastAsia="仿宋" w:cs="仿宋"/>
          <w:b w:val="0"/>
          <w:bCs w:val="0"/>
          <w:kern w:val="0"/>
          <w:sz w:val="20"/>
          <w:szCs w:val="20"/>
          <w:lang w:val="en-US" w:eastAsia="zh-CN"/>
        </w:rPr>
        <w:t xml:space="preserve">                   </w:t>
      </w:r>
      <w:r>
        <w:rPr>
          <w:rFonts w:hint="default" w:ascii="仿宋" w:hAnsi="仿宋" w:eastAsia="仿宋" w:cs="仿宋"/>
          <w:b w:val="0"/>
          <w:bCs w:val="0"/>
          <w:kern w:val="0"/>
          <w:sz w:val="20"/>
          <w:szCs w:val="20"/>
          <w:lang w:val="en-US" w:eastAsia="zh-CN"/>
        </w:rPr>
        <w:t xml:space="preserve">  填报日期：</w:t>
      </w:r>
      <w:r>
        <w:rPr>
          <w:rFonts w:hint="eastAsia" w:ascii="仿宋" w:hAnsi="仿宋" w:eastAsia="仿宋" w:cs="仿宋"/>
          <w:b w:val="0"/>
          <w:bCs w:val="0"/>
          <w:kern w:val="0"/>
          <w:sz w:val="20"/>
          <w:szCs w:val="20"/>
          <w:lang w:val="en-US" w:eastAsia="zh-CN"/>
        </w:rPr>
        <w:t xml:space="preserve">                   </w:t>
      </w:r>
      <w:r>
        <w:rPr>
          <w:rFonts w:hint="default" w:ascii="仿宋" w:hAnsi="仿宋" w:eastAsia="仿宋" w:cs="仿宋"/>
          <w:b w:val="0"/>
          <w:bCs w:val="0"/>
          <w:kern w:val="0"/>
          <w:sz w:val="20"/>
          <w:szCs w:val="20"/>
          <w:lang w:val="en-US" w:eastAsia="zh-CN"/>
        </w:rPr>
        <w:t xml:space="preserve">  联系电话：</w:t>
      </w:r>
      <w:r>
        <w:rPr>
          <w:rFonts w:hint="eastAsia" w:ascii="仿宋" w:hAnsi="仿宋" w:eastAsia="仿宋" w:cs="仿宋"/>
          <w:b w:val="0"/>
          <w:bCs w:val="0"/>
          <w:kern w:val="0"/>
          <w:sz w:val="20"/>
          <w:szCs w:val="20"/>
          <w:lang w:val="en-US" w:eastAsia="zh-CN"/>
        </w:rPr>
        <w:t xml:space="preserve"> </w:t>
      </w:r>
    </w:p>
    <w:p w14:paraId="5AB0E193">
      <w:pPr>
        <w:widowControl/>
        <w:jc w:val="both"/>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5FAEF">
    <w:pPr>
      <w:spacing w:line="240" w:lineRule="auto"/>
      <w:ind w:firstLine="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8D7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91A84"/>
    <w:multiLevelType w:val="singleLevel"/>
    <w:tmpl w:val="9A491A84"/>
    <w:lvl w:ilvl="0" w:tentative="0">
      <w:start w:val="2"/>
      <w:numFmt w:val="chineseCounting"/>
      <w:suff w:val="nothing"/>
      <w:lvlText w:val="（%1）"/>
      <w:lvlJc w:val="left"/>
      <w:rPr>
        <w:rFonts w:hint="eastAsia"/>
      </w:rPr>
    </w:lvl>
  </w:abstractNum>
  <w:abstractNum w:abstractNumId="1">
    <w:nsid w:val="DCB63989"/>
    <w:multiLevelType w:val="singleLevel"/>
    <w:tmpl w:val="DCB63989"/>
    <w:lvl w:ilvl="0" w:tentative="0">
      <w:start w:val="8"/>
      <w:numFmt w:val="chineseCounting"/>
      <w:suff w:val="nothing"/>
      <w:lvlText w:val="%1、"/>
      <w:lvlJc w:val="left"/>
      <w:rPr>
        <w:rFonts w:hint="eastAsia"/>
      </w:rPr>
    </w:lvl>
  </w:abstractNum>
  <w:abstractNum w:abstractNumId="2">
    <w:nsid w:val="F0875D2F"/>
    <w:multiLevelType w:val="singleLevel"/>
    <w:tmpl w:val="F0875D2F"/>
    <w:lvl w:ilvl="0" w:tentative="0">
      <w:start w:val="2"/>
      <w:numFmt w:val="chineseCounting"/>
      <w:suff w:val="nothing"/>
      <w:lvlText w:val="（%1）"/>
      <w:lvlJc w:val="left"/>
      <w:rPr>
        <w:rFonts w:hint="eastAsia"/>
      </w:rPr>
    </w:lvl>
  </w:abstractNum>
  <w:abstractNum w:abstractNumId="3">
    <w:nsid w:val="F5245A40"/>
    <w:multiLevelType w:val="singleLevel"/>
    <w:tmpl w:val="F5245A40"/>
    <w:lvl w:ilvl="0" w:tentative="0">
      <w:start w:val="3"/>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3ZDA5MjM5YmI4MmEwM2I4NzBjZTc3Y2Q3ZmJjYjIifQ=="/>
  </w:docVars>
  <w:rsids>
    <w:rsidRoot w:val="00000000"/>
    <w:rsid w:val="00D64AE1"/>
    <w:rsid w:val="00EB7E60"/>
    <w:rsid w:val="01C0753F"/>
    <w:rsid w:val="021F4265"/>
    <w:rsid w:val="02331ABF"/>
    <w:rsid w:val="03323B24"/>
    <w:rsid w:val="03463A74"/>
    <w:rsid w:val="034F0B7A"/>
    <w:rsid w:val="03912F41"/>
    <w:rsid w:val="0397607D"/>
    <w:rsid w:val="03AD764F"/>
    <w:rsid w:val="04781A0B"/>
    <w:rsid w:val="04A138FC"/>
    <w:rsid w:val="04CD7EC2"/>
    <w:rsid w:val="05191440"/>
    <w:rsid w:val="060F639F"/>
    <w:rsid w:val="066D6797"/>
    <w:rsid w:val="06C90C44"/>
    <w:rsid w:val="06DF3FC3"/>
    <w:rsid w:val="07B74F40"/>
    <w:rsid w:val="07CD02C0"/>
    <w:rsid w:val="07D7579A"/>
    <w:rsid w:val="08387E2F"/>
    <w:rsid w:val="08962DA7"/>
    <w:rsid w:val="091C14FF"/>
    <w:rsid w:val="09B71227"/>
    <w:rsid w:val="09DE4A06"/>
    <w:rsid w:val="0A0C4D69"/>
    <w:rsid w:val="0A474359"/>
    <w:rsid w:val="0A9357F1"/>
    <w:rsid w:val="0A9D21CB"/>
    <w:rsid w:val="0B1B7594"/>
    <w:rsid w:val="0B291CB1"/>
    <w:rsid w:val="0B5036E2"/>
    <w:rsid w:val="0B8213C1"/>
    <w:rsid w:val="0B860EB1"/>
    <w:rsid w:val="0B9A76D9"/>
    <w:rsid w:val="0B9C2483"/>
    <w:rsid w:val="0BA13F3D"/>
    <w:rsid w:val="0BFA364D"/>
    <w:rsid w:val="0C436DA2"/>
    <w:rsid w:val="0C4A0131"/>
    <w:rsid w:val="0DB53CD0"/>
    <w:rsid w:val="0DBC0BBA"/>
    <w:rsid w:val="0DF5231E"/>
    <w:rsid w:val="0E033046"/>
    <w:rsid w:val="0E1053AA"/>
    <w:rsid w:val="0EEA5BFB"/>
    <w:rsid w:val="0F501F02"/>
    <w:rsid w:val="0F987405"/>
    <w:rsid w:val="0FF57159"/>
    <w:rsid w:val="100920B1"/>
    <w:rsid w:val="100B407B"/>
    <w:rsid w:val="104F21BA"/>
    <w:rsid w:val="10C55FD8"/>
    <w:rsid w:val="1102547E"/>
    <w:rsid w:val="117D68B3"/>
    <w:rsid w:val="11BD75F7"/>
    <w:rsid w:val="11FD79F3"/>
    <w:rsid w:val="120B0362"/>
    <w:rsid w:val="123478B9"/>
    <w:rsid w:val="12481A5C"/>
    <w:rsid w:val="125D0492"/>
    <w:rsid w:val="12791770"/>
    <w:rsid w:val="12ED5CBA"/>
    <w:rsid w:val="13117BFA"/>
    <w:rsid w:val="13581385"/>
    <w:rsid w:val="137F4B64"/>
    <w:rsid w:val="13BB36C2"/>
    <w:rsid w:val="14151024"/>
    <w:rsid w:val="14321BD6"/>
    <w:rsid w:val="143F2545"/>
    <w:rsid w:val="14515DD5"/>
    <w:rsid w:val="14524026"/>
    <w:rsid w:val="147F2942"/>
    <w:rsid w:val="14860174"/>
    <w:rsid w:val="150C68CB"/>
    <w:rsid w:val="152A6F81"/>
    <w:rsid w:val="155D5602"/>
    <w:rsid w:val="15C42D02"/>
    <w:rsid w:val="16AF39B2"/>
    <w:rsid w:val="16C62AAA"/>
    <w:rsid w:val="16FE0496"/>
    <w:rsid w:val="17683B61"/>
    <w:rsid w:val="17A00BB4"/>
    <w:rsid w:val="17EC6540"/>
    <w:rsid w:val="18185587"/>
    <w:rsid w:val="183121A5"/>
    <w:rsid w:val="18583BD5"/>
    <w:rsid w:val="18F71640"/>
    <w:rsid w:val="19031D93"/>
    <w:rsid w:val="190D49C0"/>
    <w:rsid w:val="19245EC6"/>
    <w:rsid w:val="19393A07"/>
    <w:rsid w:val="19AF3CC9"/>
    <w:rsid w:val="19BE215E"/>
    <w:rsid w:val="19E03E83"/>
    <w:rsid w:val="1A023DF9"/>
    <w:rsid w:val="1A646862"/>
    <w:rsid w:val="1AAE21D3"/>
    <w:rsid w:val="1AD5150D"/>
    <w:rsid w:val="1ADF413A"/>
    <w:rsid w:val="1AF60908"/>
    <w:rsid w:val="1B281F85"/>
    <w:rsid w:val="1B5468D6"/>
    <w:rsid w:val="1B99078D"/>
    <w:rsid w:val="1BA3785E"/>
    <w:rsid w:val="1BED0AD9"/>
    <w:rsid w:val="1BF9122C"/>
    <w:rsid w:val="1C6E1C1A"/>
    <w:rsid w:val="1C961170"/>
    <w:rsid w:val="1D5A219E"/>
    <w:rsid w:val="1D65301C"/>
    <w:rsid w:val="1D752B34"/>
    <w:rsid w:val="1D864D41"/>
    <w:rsid w:val="1DA82F09"/>
    <w:rsid w:val="1DE2466D"/>
    <w:rsid w:val="1DEA1CDF"/>
    <w:rsid w:val="1E1D38F7"/>
    <w:rsid w:val="1E6257AE"/>
    <w:rsid w:val="1ED0096A"/>
    <w:rsid w:val="1EFC175F"/>
    <w:rsid w:val="1F220A99"/>
    <w:rsid w:val="1FEF6BCD"/>
    <w:rsid w:val="20026253"/>
    <w:rsid w:val="209F6845"/>
    <w:rsid w:val="20D64231"/>
    <w:rsid w:val="20E54BAF"/>
    <w:rsid w:val="21020B82"/>
    <w:rsid w:val="21A460DD"/>
    <w:rsid w:val="21C36564"/>
    <w:rsid w:val="21D02A2F"/>
    <w:rsid w:val="22431452"/>
    <w:rsid w:val="22617B2B"/>
    <w:rsid w:val="226C6BFB"/>
    <w:rsid w:val="229879F0"/>
    <w:rsid w:val="22D447A0"/>
    <w:rsid w:val="232079E6"/>
    <w:rsid w:val="23411E36"/>
    <w:rsid w:val="23694EE9"/>
    <w:rsid w:val="238241FC"/>
    <w:rsid w:val="239D61EB"/>
    <w:rsid w:val="245F009A"/>
    <w:rsid w:val="247022A7"/>
    <w:rsid w:val="247C6E9E"/>
    <w:rsid w:val="248A3FFE"/>
    <w:rsid w:val="24A85EE5"/>
    <w:rsid w:val="24EA7475"/>
    <w:rsid w:val="2527505B"/>
    <w:rsid w:val="253B4663"/>
    <w:rsid w:val="25781413"/>
    <w:rsid w:val="257A33DD"/>
    <w:rsid w:val="25FA62CC"/>
    <w:rsid w:val="2677791D"/>
    <w:rsid w:val="26C54B2C"/>
    <w:rsid w:val="274F0899"/>
    <w:rsid w:val="277420AE"/>
    <w:rsid w:val="27822A1D"/>
    <w:rsid w:val="279462AC"/>
    <w:rsid w:val="27D74B17"/>
    <w:rsid w:val="28265416"/>
    <w:rsid w:val="28372EBF"/>
    <w:rsid w:val="28373807"/>
    <w:rsid w:val="28771E56"/>
    <w:rsid w:val="28826FDD"/>
    <w:rsid w:val="28CA467C"/>
    <w:rsid w:val="28DF17A9"/>
    <w:rsid w:val="29057462"/>
    <w:rsid w:val="293E0BC6"/>
    <w:rsid w:val="29E90B31"/>
    <w:rsid w:val="2A222295"/>
    <w:rsid w:val="2A2878AC"/>
    <w:rsid w:val="2A8D770F"/>
    <w:rsid w:val="2AB42158"/>
    <w:rsid w:val="2B746B21"/>
    <w:rsid w:val="2BC730F4"/>
    <w:rsid w:val="2BFC6DB8"/>
    <w:rsid w:val="2C5524AE"/>
    <w:rsid w:val="2C622E1D"/>
    <w:rsid w:val="2C7F752B"/>
    <w:rsid w:val="2CB90C8F"/>
    <w:rsid w:val="2D343B07"/>
    <w:rsid w:val="2D360531"/>
    <w:rsid w:val="2D3622E0"/>
    <w:rsid w:val="2D75403B"/>
    <w:rsid w:val="2DC21DC5"/>
    <w:rsid w:val="2DC23B73"/>
    <w:rsid w:val="2DC93154"/>
    <w:rsid w:val="2DE57862"/>
    <w:rsid w:val="2E627104"/>
    <w:rsid w:val="2EA9088F"/>
    <w:rsid w:val="2EC35DF5"/>
    <w:rsid w:val="2EED2E72"/>
    <w:rsid w:val="2F6F1AD9"/>
    <w:rsid w:val="2F8F217B"/>
    <w:rsid w:val="2F923A19"/>
    <w:rsid w:val="2FD91648"/>
    <w:rsid w:val="2FEF6776"/>
    <w:rsid w:val="303742A5"/>
    <w:rsid w:val="305F7D9F"/>
    <w:rsid w:val="30BA3228"/>
    <w:rsid w:val="317653A0"/>
    <w:rsid w:val="33C30645"/>
    <w:rsid w:val="34030A42"/>
    <w:rsid w:val="34140EA1"/>
    <w:rsid w:val="34256C0A"/>
    <w:rsid w:val="34360E17"/>
    <w:rsid w:val="34480B4A"/>
    <w:rsid w:val="344F3C87"/>
    <w:rsid w:val="346534AA"/>
    <w:rsid w:val="34DD5737"/>
    <w:rsid w:val="35C321CA"/>
    <w:rsid w:val="3627310D"/>
    <w:rsid w:val="36407D2B"/>
    <w:rsid w:val="364517E5"/>
    <w:rsid w:val="36B3674F"/>
    <w:rsid w:val="370E1BD7"/>
    <w:rsid w:val="371A057C"/>
    <w:rsid w:val="378325C5"/>
    <w:rsid w:val="37904CE2"/>
    <w:rsid w:val="382471D8"/>
    <w:rsid w:val="38797524"/>
    <w:rsid w:val="38BD1B07"/>
    <w:rsid w:val="38CA4224"/>
    <w:rsid w:val="38CF183A"/>
    <w:rsid w:val="38DE1A7D"/>
    <w:rsid w:val="3951224F"/>
    <w:rsid w:val="39DF5AAD"/>
    <w:rsid w:val="3A6B0DF5"/>
    <w:rsid w:val="3A8D5851"/>
    <w:rsid w:val="3AB807D8"/>
    <w:rsid w:val="3B47688D"/>
    <w:rsid w:val="3B7566C9"/>
    <w:rsid w:val="3B765F9D"/>
    <w:rsid w:val="3B9427F0"/>
    <w:rsid w:val="3BAF0931"/>
    <w:rsid w:val="3BCB0097"/>
    <w:rsid w:val="3C4E2A76"/>
    <w:rsid w:val="3CB6726B"/>
    <w:rsid w:val="3D2D6B2F"/>
    <w:rsid w:val="3D4D2D2E"/>
    <w:rsid w:val="3D801D68"/>
    <w:rsid w:val="3DC47494"/>
    <w:rsid w:val="3DD1570D"/>
    <w:rsid w:val="3E2B306F"/>
    <w:rsid w:val="3E846B6F"/>
    <w:rsid w:val="3ED23E32"/>
    <w:rsid w:val="3EED47C8"/>
    <w:rsid w:val="3F2D2E17"/>
    <w:rsid w:val="3F450160"/>
    <w:rsid w:val="3F4C5993"/>
    <w:rsid w:val="3F696545"/>
    <w:rsid w:val="3F7647BE"/>
    <w:rsid w:val="402D7572"/>
    <w:rsid w:val="40572841"/>
    <w:rsid w:val="4058735F"/>
    <w:rsid w:val="40890521"/>
    <w:rsid w:val="40956EC5"/>
    <w:rsid w:val="414A4154"/>
    <w:rsid w:val="418C2076"/>
    <w:rsid w:val="419158DF"/>
    <w:rsid w:val="41962EF5"/>
    <w:rsid w:val="41A75102"/>
    <w:rsid w:val="421502BE"/>
    <w:rsid w:val="424010B3"/>
    <w:rsid w:val="424741EF"/>
    <w:rsid w:val="42CD6DEA"/>
    <w:rsid w:val="42D75573"/>
    <w:rsid w:val="42E27FE3"/>
    <w:rsid w:val="431C567C"/>
    <w:rsid w:val="433E1A96"/>
    <w:rsid w:val="43963680"/>
    <w:rsid w:val="443A04B0"/>
    <w:rsid w:val="444430DC"/>
    <w:rsid w:val="444A6219"/>
    <w:rsid w:val="44A1408B"/>
    <w:rsid w:val="44D3620E"/>
    <w:rsid w:val="45012D7B"/>
    <w:rsid w:val="450E7246"/>
    <w:rsid w:val="45725A27"/>
    <w:rsid w:val="45C1250B"/>
    <w:rsid w:val="46285102"/>
    <w:rsid w:val="463D4287"/>
    <w:rsid w:val="47064679"/>
    <w:rsid w:val="4792415F"/>
    <w:rsid w:val="484A2C8B"/>
    <w:rsid w:val="48561630"/>
    <w:rsid w:val="488219F4"/>
    <w:rsid w:val="48C540C0"/>
    <w:rsid w:val="49523BA5"/>
    <w:rsid w:val="49634005"/>
    <w:rsid w:val="49641B2B"/>
    <w:rsid w:val="49AD1724"/>
    <w:rsid w:val="49C01457"/>
    <w:rsid w:val="4A266DE0"/>
    <w:rsid w:val="4A78588E"/>
    <w:rsid w:val="4A963F66"/>
    <w:rsid w:val="4AD30D16"/>
    <w:rsid w:val="4AF31F03"/>
    <w:rsid w:val="4B5D2CD5"/>
    <w:rsid w:val="4BDC009E"/>
    <w:rsid w:val="4BFE219B"/>
    <w:rsid w:val="4C3A6B73"/>
    <w:rsid w:val="4CBD1C7E"/>
    <w:rsid w:val="4CBE7411"/>
    <w:rsid w:val="4CE865CF"/>
    <w:rsid w:val="4D151ABA"/>
    <w:rsid w:val="4D360ADE"/>
    <w:rsid w:val="4D896004"/>
    <w:rsid w:val="4DE4323A"/>
    <w:rsid w:val="4E0A0EF3"/>
    <w:rsid w:val="4E50267E"/>
    <w:rsid w:val="4EE71234"/>
    <w:rsid w:val="4F574929"/>
    <w:rsid w:val="4FD5088F"/>
    <w:rsid w:val="50476096"/>
    <w:rsid w:val="50483F54"/>
    <w:rsid w:val="505B3EDD"/>
    <w:rsid w:val="507C3BFE"/>
    <w:rsid w:val="50B138A7"/>
    <w:rsid w:val="50CC06E1"/>
    <w:rsid w:val="514A5AAA"/>
    <w:rsid w:val="51856AE2"/>
    <w:rsid w:val="51C969CF"/>
    <w:rsid w:val="525C4CD1"/>
    <w:rsid w:val="529A036B"/>
    <w:rsid w:val="52AB07CA"/>
    <w:rsid w:val="52BF7DD2"/>
    <w:rsid w:val="530879CB"/>
    <w:rsid w:val="531719BC"/>
    <w:rsid w:val="5345477B"/>
    <w:rsid w:val="534F55FA"/>
    <w:rsid w:val="538E7ED0"/>
    <w:rsid w:val="541D1254"/>
    <w:rsid w:val="54B41BB8"/>
    <w:rsid w:val="54E029AD"/>
    <w:rsid w:val="54F40207"/>
    <w:rsid w:val="5540169E"/>
    <w:rsid w:val="556010E8"/>
    <w:rsid w:val="558E2409"/>
    <w:rsid w:val="55986DE4"/>
    <w:rsid w:val="55C7591B"/>
    <w:rsid w:val="564D4072"/>
    <w:rsid w:val="566B274A"/>
    <w:rsid w:val="56D55E16"/>
    <w:rsid w:val="56D7393C"/>
    <w:rsid w:val="56E61DD1"/>
    <w:rsid w:val="56EB388B"/>
    <w:rsid w:val="57546CC2"/>
    <w:rsid w:val="580E15DF"/>
    <w:rsid w:val="58A5198B"/>
    <w:rsid w:val="58D345D7"/>
    <w:rsid w:val="58FB0BC2"/>
    <w:rsid w:val="593432C8"/>
    <w:rsid w:val="59372DB8"/>
    <w:rsid w:val="59413C36"/>
    <w:rsid w:val="597D4C6F"/>
    <w:rsid w:val="59A57D21"/>
    <w:rsid w:val="59A65848"/>
    <w:rsid w:val="5A4412E8"/>
    <w:rsid w:val="5A67147B"/>
    <w:rsid w:val="5AA12BDF"/>
    <w:rsid w:val="5AA77AC9"/>
    <w:rsid w:val="5ACE492D"/>
    <w:rsid w:val="5AD461E7"/>
    <w:rsid w:val="5B484F61"/>
    <w:rsid w:val="5B8816A9"/>
    <w:rsid w:val="5B9938B6"/>
    <w:rsid w:val="5B9B762E"/>
    <w:rsid w:val="5BCC3C8B"/>
    <w:rsid w:val="5BE32D83"/>
    <w:rsid w:val="5C02145B"/>
    <w:rsid w:val="5C043425"/>
    <w:rsid w:val="5C5B0B6B"/>
    <w:rsid w:val="5C797243"/>
    <w:rsid w:val="5C967DF5"/>
    <w:rsid w:val="5CC91C41"/>
    <w:rsid w:val="5D101DAC"/>
    <w:rsid w:val="5D3C6BEF"/>
    <w:rsid w:val="5D59154F"/>
    <w:rsid w:val="5D7C348F"/>
    <w:rsid w:val="5DA56542"/>
    <w:rsid w:val="5E341F30"/>
    <w:rsid w:val="5E6C3504"/>
    <w:rsid w:val="5E7303EE"/>
    <w:rsid w:val="5E9B0162"/>
    <w:rsid w:val="5ED2780B"/>
    <w:rsid w:val="5EEC63F2"/>
    <w:rsid w:val="5F2E07B9"/>
    <w:rsid w:val="5F3B6A32"/>
    <w:rsid w:val="5F3C1128"/>
    <w:rsid w:val="5F6146EB"/>
    <w:rsid w:val="5F615F3B"/>
    <w:rsid w:val="5FDC6467"/>
    <w:rsid w:val="60522285"/>
    <w:rsid w:val="60DD4245"/>
    <w:rsid w:val="60E94998"/>
    <w:rsid w:val="61785D1C"/>
    <w:rsid w:val="61D916A1"/>
    <w:rsid w:val="622639C9"/>
    <w:rsid w:val="627D5CDF"/>
    <w:rsid w:val="62E713AB"/>
    <w:rsid w:val="63DF6526"/>
    <w:rsid w:val="63E36016"/>
    <w:rsid w:val="6401024A"/>
    <w:rsid w:val="64852C29"/>
    <w:rsid w:val="64BB2AEF"/>
    <w:rsid w:val="64D911C7"/>
    <w:rsid w:val="64E35BA2"/>
    <w:rsid w:val="650E0E71"/>
    <w:rsid w:val="653D3504"/>
    <w:rsid w:val="653D52B2"/>
    <w:rsid w:val="65AA6973"/>
    <w:rsid w:val="65FF6A0B"/>
    <w:rsid w:val="66014531"/>
    <w:rsid w:val="660758C0"/>
    <w:rsid w:val="660B3602"/>
    <w:rsid w:val="661C75BD"/>
    <w:rsid w:val="66AC3EEA"/>
    <w:rsid w:val="66B12642"/>
    <w:rsid w:val="66F61BBC"/>
    <w:rsid w:val="674566A0"/>
    <w:rsid w:val="68030A35"/>
    <w:rsid w:val="68077DF9"/>
    <w:rsid w:val="680869DE"/>
    <w:rsid w:val="68232E85"/>
    <w:rsid w:val="683A1F7D"/>
    <w:rsid w:val="687A4A6F"/>
    <w:rsid w:val="68831B76"/>
    <w:rsid w:val="68AE4946"/>
    <w:rsid w:val="68F77E6E"/>
    <w:rsid w:val="69232A11"/>
    <w:rsid w:val="69236EB5"/>
    <w:rsid w:val="693B5FAC"/>
    <w:rsid w:val="6A3D7B02"/>
    <w:rsid w:val="6A3F7D1E"/>
    <w:rsid w:val="6ADE7537"/>
    <w:rsid w:val="6B7E4F79"/>
    <w:rsid w:val="6BCE3108"/>
    <w:rsid w:val="6BDD77EF"/>
    <w:rsid w:val="6BF32B6E"/>
    <w:rsid w:val="6C77379F"/>
    <w:rsid w:val="6C8D4D71"/>
    <w:rsid w:val="6C9541F3"/>
    <w:rsid w:val="6D785A21"/>
    <w:rsid w:val="6D8A12B0"/>
    <w:rsid w:val="6E5378F4"/>
    <w:rsid w:val="6E5813AF"/>
    <w:rsid w:val="6E58315D"/>
    <w:rsid w:val="6E623FDB"/>
    <w:rsid w:val="6EB26D11"/>
    <w:rsid w:val="6EB75083"/>
    <w:rsid w:val="6EFF182A"/>
    <w:rsid w:val="6F667AFB"/>
    <w:rsid w:val="6F743FC6"/>
    <w:rsid w:val="6F80296B"/>
    <w:rsid w:val="6F9D65B5"/>
    <w:rsid w:val="701A433E"/>
    <w:rsid w:val="70D94A29"/>
    <w:rsid w:val="7104137A"/>
    <w:rsid w:val="71096990"/>
    <w:rsid w:val="71121CE9"/>
    <w:rsid w:val="71551BD5"/>
    <w:rsid w:val="71555A66"/>
    <w:rsid w:val="71966369"/>
    <w:rsid w:val="71AA0173"/>
    <w:rsid w:val="71FE226D"/>
    <w:rsid w:val="721970A7"/>
    <w:rsid w:val="722C2936"/>
    <w:rsid w:val="724A3704"/>
    <w:rsid w:val="724C4D86"/>
    <w:rsid w:val="72D03C09"/>
    <w:rsid w:val="739F538A"/>
    <w:rsid w:val="73A40BF2"/>
    <w:rsid w:val="73DE4104"/>
    <w:rsid w:val="74084D1B"/>
    <w:rsid w:val="746B7053"/>
    <w:rsid w:val="758D5DE2"/>
    <w:rsid w:val="75EA4FE2"/>
    <w:rsid w:val="76F81981"/>
    <w:rsid w:val="773329B9"/>
    <w:rsid w:val="781400F4"/>
    <w:rsid w:val="78BE4504"/>
    <w:rsid w:val="78D43D28"/>
    <w:rsid w:val="78E201F2"/>
    <w:rsid w:val="797C23F5"/>
    <w:rsid w:val="797D616D"/>
    <w:rsid w:val="79A6109B"/>
    <w:rsid w:val="7A0D5743"/>
    <w:rsid w:val="7AC57DCC"/>
    <w:rsid w:val="7ACC2F08"/>
    <w:rsid w:val="7B3867F0"/>
    <w:rsid w:val="7B5573A2"/>
    <w:rsid w:val="7B825CBD"/>
    <w:rsid w:val="7BCB1412"/>
    <w:rsid w:val="7CDB38D7"/>
    <w:rsid w:val="7CDE16BD"/>
    <w:rsid w:val="7D1C734F"/>
    <w:rsid w:val="7D2C4132"/>
    <w:rsid w:val="7E292420"/>
    <w:rsid w:val="7E53749D"/>
    <w:rsid w:val="7EB22415"/>
    <w:rsid w:val="7EEF18BB"/>
    <w:rsid w:val="7F477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9">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200" w:firstLineChars="200"/>
    </w:pPr>
  </w:style>
  <w:style w:type="paragraph" w:styleId="4">
    <w:name w:val="footer"/>
    <w:basedOn w:val="1"/>
    <w:next w:val="1"/>
    <w:autoRedefine/>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nhideWhenUsed/>
    <w:qFormat/>
    <w:uiPriority w:val="39"/>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标题1"/>
    <w:basedOn w:val="2"/>
    <w:autoRedefine/>
    <w:qFormat/>
    <w:uiPriority w:val="0"/>
    <w:rPr>
      <w:rFonts w:eastAsia="黑体"/>
    </w:rPr>
  </w:style>
  <w:style w:type="paragraph" w:customStyle="1" w:styleId="11">
    <w:name w:val="正文首行缩进 21"/>
    <w:basedOn w:val="12"/>
    <w:autoRedefine/>
    <w:qFormat/>
    <w:uiPriority w:val="0"/>
    <w:pPr>
      <w:ind w:firstLine="420" w:firstLineChars="200"/>
    </w:pPr>
  </w:style>
  <w:style w:type="paragraph" w:customStyle="1" w:styleId="12">
    <w:name w:val="正文文本缩进1"/>
    <w:basedOn w:val="1"/>
    <w:autoRedefine/>
    <w:qFormat/>
    <w:uiPriority w:val="0"/>
    <w:pPr>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5131</Words>
  <Characters>5603</Characters>
  <Lines>0</Lines>
  <Paragraphs>0</Paragraphs>
  <TotalTime>65</TotalTime>
  <ScaleCrop>false</ScaleCrop>
  <LinksUpToDate>false</LinksUpToDate>
  <CharactersWithSpaces>5875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2024-04-30T00:33:00Z</dcterms:created>
  <dc:creator>Administrator</dc:creator>
  <cp:lastModifiedBy>陈平</cp:lastModifiedBy>
  <dcterms:modified xsi:type="dcterms:W3CDTF">2024-09-23T08:25:36Z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A9C57F6C111B4A39BA28F88BFC174F50_12</vt:lpwstr>
  </property>
</Properties>
</file>