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3872D">
      <w:pPr>
        <w:pStyle w:val="2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before="94" w:line="222" w:lineRule="auto"/>
        <w:ind w:left="114"/>
        <w:rPr>
          <w:rFonts w:hint="eastAsia" w:ascii="黑体" w:hAnsi="黑体" w:eastAsia="黑体" w:cs="黑体"/>
          <w:spacing w:val="2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7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7"/>
          <w:sz w:val="32"/>
          <w:szCs w:val="32"/>
          <w:lang w:val="en-US" w:eastAsia="zh-CN"/>
        </w:rPr>
        <w:t>2</w:t>
      </w:r>
    </w:p>
    <w:p w14:paraId="08669C1D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部门整体支出绩效自评表</w:t>
      </w:r>
    </w:p>
    <w:bookmarkEnd w:id="0"/>
    <w:tbl>
      <w:tblPr>
        <w:tblStyle w:val="5"/>
        <w:tblW w:w="97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133"/>
        <w:gridCol w:w="1000"/>
        <w:gridCol w:w="1373"/>
        <w:gridCol w:w="1159"/>
        <w:gridCol w:w="1166"/>
        <w:gridCol w:w="591"/>
        <w:gridCol w:w="1117"/>
        <w:gridCol w:w="904"/>
      </w:tblGrid>
      <w:tr w14:paraId="29C27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  <w:jc w:val="center"/>
        </w:trPr>
        <w:tc>
          <w:tcPr>
            <w:tcW w:w="1300" w:type="dxa"/>
            <w:vAlign w:val="center"/>
          </w:tcPr>
          <w:p w14:paraId="07CF3F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预算部门</w:t>
            </w:r>
          </w:p>
          <w:p w14:paraId="6116D2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名称</w:t>
            </w:r>
          </w:p>
        </w:tc>
        <w:tc>
          <w:tcPr>
            <w:tcW w:w="8443" w:type="dxa"/>
            <w:gridSpan w:val="8"/>
            <w:vAlign w:val="center"/>
          </w:tcPr>
          <w:p w14:paraId="7C518B1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怀化市医疗保障事务中心</w:t>
            </w:r>
          </w:p>
        </w:tc>
      </w:tr>
      <w:tr w14:paraId="060BF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 w14:paraId="2221C5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年度预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算申请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2133" w:type="dxa"/>
            <w:gridSpan w:val="2"/>
            <w:vAlign w:val="center"/>
          </w:tcPr>
          <w:p w14:paraId="4153124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373" w:type="dxa"/>
            <w:vAlign w:val="center"/>
          </w:tcPr>
          <w:p w14:paraId="0ACFE4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年初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预算数</w:t>
            </w:r>
          </w:p>
        </w:tc>
        <w:tc>
          <w:tcPr>
            <w:tcW w:w="1159" w:type="dxa"/>
            <w:vAlign w:val="center"/>
          </w:tcPr>
          <w:p w14:paraId="74E731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全年预算数</w:t>
            </w:r>
          </w:p>
        </w:tc>
        <w:tc>
          <w:tcPr>
            <w:tcW w:w="1166" w:type="dxa"/>
            <w:vAlign w:val="center"/>
          </w:tcPr>
          <w:p w14:paraId="237DCC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全年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执行数</w:t>
            </w:r>
          </w:p>
        </w:tc>
        <w:tc>
          <w:tcPr>
            <w:tcW w:w="591" w:type="dxa"/>
            <w:vAlign w:val="center"/>
          </w:tcPr>
          <w:p w14:paraId="054206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1117" w:type="dxa"/>
            <w:vAlign w:val="center"/>
          </w:tcPr>
          <w:p w14:paraId="19505F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pacing w:val="-3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执行率</w:t>
            </w:r>
          </w:p>
        </w:tc>
        <w:tc>
          <w:tcPr>
            <w:tcW w:w="904" w:type="dxa"/>
            <w:vAlign w:val="center"/>
          </w:tcPr>
          <w:p w14:paraId="612ECE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得分</w:t>
            </w:r>
          </w:p>
        </w:tc>
      </w:tr>
      <w:tr w14:paraId="6154C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59AA353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2133" w:type="dxa"/>
            <w:gridSpan w:val="2"/>
            <w:vAlign w:val="center"/>
          </w:tcPr>
          <w:p w14:paraId="651D8A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373" w:type="dxa"/>
            <w:vAlign w:val="center"/>
          </w:tcPr>
          <w:p w14:paraId="0B20ABA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  <w:r>
              <w:rPr>
                <w:rFonts w:hint="eastAsia"/>
              </w:rPr>
              <w:t>518.35</w:t>
            </w:r>
          </w:p>
        </w:tc>
        <w:tc>
          <w:tcPr>
            <w:tcW w:w="1159" w:type="dxa"/>
            <w:vAlign w:val="center"/>
          </w:tcPr>
          <w:p w14:paraId="1199304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617.39</w:t>
            </w:r>
          </w:p>
        </w:tc>
        <w:tc>
          <w:tcPr>
            <w:tcW w:w="1166" w:type="dxa"/>
            <w:vAlign w:val="center"/>
          </w:tcPr>
          <w:p w14:paraId="572CD5E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616.9</w:t>
            </w:r>
          </w:p>
        </w:tc>
        <w:tc>
          <w:tcPr>
            <w:tcW w:w="591" w:type="dxa"/>
            <w:vAlign w:val="center"/>
          </w:tcPr>
          <w:p w14:paraId="6859B1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117" w:type="dxa"/>
            <w:vAlign w:val="center"/>
          </w:tcPr>
          <w:p w14:paraId="1C1B5E9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119.</w:t>
            </w: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01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%</w:t>
            </w:r>
          </w:p>
        </w:tc>
        <w:tc>
          <w:tcPr>
            <w:tcW w:w="904" w:type="dxa"/>
            <w:vAlign w:val="center"/>
          </w:tcPr>
          <w:p w14:paraId="72486AB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</w:tr>
      <w:tr w14:paraId="5DA28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47E8F73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4665" w:type="dxa"/>
            <w:gridSpan w:val="4"/>
            <w:vAlign w:val="center"/>
          </w:tcPr>
          <w:p w14:paraId="7F57E6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按收入性质分：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617.39</w:t>
            </w:r>
          </w:p>
        </w:tc>
        <w:tc>
          <w:tcPr>
            <w:tcW w:w="3778" w:type="dxa"/>
            <w:gridSpan w:val="4"/>
            <w:vAlign w:val="center"/>
          </w:tcPr>
          <w:p w14:paraId="7FB7A3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按支出性质分：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616.9</w:t>
            </w:r>
          </w:p>
        </w:tc>
      </w:tr>
      <w:tr w14:paraId="28283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01F786F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4665" w:type="dxa"/>
            <w:gridSpan w:val="4"/>
            <w:vAlign w:val="center"/>
          </w:tcPr>
          <w:p w14:paraId="066BAC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其中：一般公共预算：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  <w:lang w:val="en-US" w:eastAsia="zh-CN"/>
              </w:rPr>
              <w:t>617.39</w:t>
            </w:r>
          </w:p>
        </w:tc>
        <w:tc>
          <w:tcPr>
            <w:tcW w:w="3778" w:type="dxa"/>
            <w:gridSpan w:val="4"/>
            <w:vAlign w:val="center"/>
          </w:tcPr>
          <w:p w14:paraId="626370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其中：基本支出：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464.89</w:t>
            </w:r>
          </w:p>
        </w:tc>
      </w:tr>
      <w:tr w14:paraId="37AD1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0C1E595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4665" w:type="dxa"/>
            <w:gridSpan w:val="4"/>
            <w:vAlign w:val="center"/>
          </w:tcPr>
          <w:p w14:paraId="5DC6BF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政府性基金拨款：</w:t>
            </w:r>
          </w:p>
        </w:tc>
        <w:tc>
          <w:tcPr>
            <w:tcW w:w="3778" w:type="dxa"/>
            <w:gridSpan w:val="4"/>
            <w:vAlign w:val="center"/>
          </w:tcPr>
          <w:p w14:paraId="5A358B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项目支出：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  <w:lang w:val="en-US" w:eastAsia="zh-CN"/>
              </w:rPr>
              <w:t>152.01</w:t>
            </w:r>
          </w:p>
        </w:tc>
      </w:tr>
      <w:tr w14:paraId="66CB9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046326C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4665" w:type="dxa"/>
            <w:gridSpan w:val="4"/>
            <w:vAlign w:val="center"/>
          </w:tcPr>
          <w:p w14:paraId="76A3D9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纳入专户管理的非税收入拨款：</w:t>
            </w:r>
          </w:p>
        </w:tc>
        <w:tc>
          <w:tcPr>
            <w:tcW w:w="3778" w:type="dxa"/>
            <w:gridSpan w:val="4"/>
            <w:vAlign w:val="center"/>
          </w:tcPr>
          <w:p w14:paraId="6F45862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</w:tr>
      <w:tr w14:paraId="32CD6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 w14:paraId="794EA8A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4665" w:type="dxa"/>
            <w:gridSpan w:val="4"/>
            <w:vAlign w:val="center"/>
          </w:tcPr>
          <w:p w14:paraId="0918D0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其他资金：</w:t>
            </w:r>
          </w:p>
        </w:tc>
        <w:tc>
          <w:tcPr>
            <w:tcW w:w="3778" w:type="dxa"/>
            <w:gridSpan w:val="4"/>
            <w:vAlign w:val="center"/>
          </w:tcPr>
          <w:p w14:paraId="5D65E86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</w:tr>
      <w:tr w14:paraId="5D980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 w14:paraId="42A909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年度总体</w:t>
            </w:r>
          </w:p>
          <w:p w14:paraId="10C797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目标</w:t>
            </w:r>
          </w:p>
        </w:tc>
        <w:tc>
          <w:tcPr>
            <w:tcW w:w="4665" w:type="dxa"/>
            <w:gridSpan w:val="4"/>
            <w:vAlign w:val="center"/>
          </w:tcPr>
          <w:p w14:paraId="62CD30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预期目标</w:t>
            </w:r>
          </w:p>
        </w:tc>
        <w:tc>
          <w:tcPr>
            <w:tcW w:w="3778" w:type="dxa"/>
            <w:gridSpan w:val="4"/>
            <w:vAlign w:val="center"/>
          </w:tcPr>
          <w:p w14:paraId="15D4F8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实际完成情况</w:t>
            </w:r>
          </w:p>
        </w:tc>
      </w:tr>
      <w:tr w14:paraId="7971A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 w14:paraId="3368511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4665" w:type="dxa"/>
            <w:gridSpan w:val="4"/>
            <w:vAlign w:val="center"/>
          </w:tcPr>
          <w:p w14:paraId="231DFE6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left"/>
              <w:textAlignment w:val="auto"/>
              <w:rPr>
                <w:sz w:val="20"/>
              </w:rPr>
            </w:pPr>
            <w:r>
              <w:rPr>
                <w:rFonts w:hint="eastAsia"/>
                <w:sz w:val="18"/>
                <w:szCs w:val="18"/>
              </w:rPr>
              <w:t>（一）围绕中心，推动医保领域各项重点工作深入开展，全力推进国家信息平台上线，持续完善DIP实际付费；（二）聚焦民生，深入开展“我为群众办实事”实践活动，用党史学习教育成效推动实际工作，不断提升医保公共服务质量和水平；（三）强化监管，全力保障医保基金安全平稳运行，积极开展医保基金集中整治，全面完成经办管理风险排查，构建完善经办内控监督体系。</w:t>
            </w:r>
          </w:p>
        </w:tc>
        <w:tc>
          <w:tcPr>
            <w:tcW w:w="3778" w:type="dxa"/>
            <w:gridSpan w:val="4"/>
            <w:vAlign w:val="center"/>
          </w:tcPr>
          <w:p w14:paraId="1571379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，我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中心圆满完成了各项工作任务与总体目标，为全市人民的医疗保障事业作出了积极贡献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，主要是：</w:t>
            </w:r>
          </w:p>
          <w:p w14:paraId="7E7945E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（一）正着力推动医保领域各项重点工作深入开展，持续推进国家信息平台上线，持续完善DIP实际付费，现已完成DIP住院费用结算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  <w:lang w:val="en-US" w:eastAsia="zh-CN"/>
              </w:rPr>
              <w:t>两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次；（二）聚焦民生，深入开展“我为群众办实事”实践活动，对全市医保经办机构“高效办成一件事”及内控制度等工作落实情况开展</w:t>
            </w:r>
          </w:p>
          <w:p w14:paraId="2E8EA56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调研，不断提升医保公共服务质量和水平；（三）对于医保基金支付按要求进行双岗双审，保障每一笔结算款准确及时支付，全力保障医保基金安全平稳运行，积极开展医保基金集中整治，进行经办管理风险排查，构建完善经办内控监督体系。</w:t>
            </w:r>
          </w:p>
        </w:tc>
      </w:tr>
      <w:tr w14:paraId="14A3F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3CBF67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  <w:p w14:paraId="1CD676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绩效指标</w:t>
            </w:r>
          </w:p>
        </w:tc>
        <w:tc>
          <w:tcPr>
            <w:tcW w:w="1133" w:type="dxa"/>
            <w:vAlign w:val="center"/>
          </w:tcPr>
          <w:p w14:paraId="6FD205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一级指标</w:t>
            </w:r>
          </w:p>
        </w:tc>
        <w:tc>
          <w:tcPr>
            <w:tcW w:w="1000" w:type="dxa"/>
            <w:vAlign w:val="center"/>
          </w:tcPr>
          <w:p w14:paraId="337A82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二级指标</w:t>
            </w:r>
          </w:p>
        </w:tc>
        <w:tc>
          <w:tcPr>
            <w:tcW w:w="1373" w:type="dxa"/>
            <w:vAlign w:val="center"/>
          </w:tcPr>
          <w:p w14:paraId="0308B4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三级指标</w:t>
            </w:r>
          </w:p>
        </w:tc>
        <w:tc>
          <w:tcPr>
            <w:tcW w:w="1159" w:type="dxa"/>
            <w:vAlign w:val="center"/>
          </w:tcPr>
          <w:p w14:paraId="6D320C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年度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指标值</w:t>
            </w:r>
          </w:p>
        </w:tc>
        <w:tc>
          <w:tcPr>
            <w:tcW w:w="1166" w:type="dxa"/>
            <w:vAlign w:val="center"/>
          </w:tcPr>
          <w:p w14:paraId="573084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实际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完成值</w:t>
            </w:r>
          </w:p>
        </w:tc>
        <w:tc>
          <w:tcPr>
            <w:tcW w:w="591" w:type="dxa"/>
            <w:vAlign w:val="center"/>
          </w:tcPr>
          <w:p w14:paraId="5181D8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1117" w:type="dxa"/>
            <w:textDirection w:val="tbRlV"/>
            <w:vAlign w:val="center"/>
          </w:tcPr>
          <w:p w14:paraId="269DB6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得分</w:t>
            </w:r>
          </w:p>
        </w:tc>
        <w:tc>
          <w:tcPr>
            <w:tcW w:w="904" w:type="dxa"/>
            <w:vAlign w:val="center"/>
          </w:tcPr>
          <w:p w14:paraId="1ECDA0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偏差原因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分析及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改进措施</w:t>
            </w:r>
          </w:p>
        </w:tc>
      </w:tr>
      <w:tr w14:paraId="2CD91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1EDAFF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41962E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center"/>
          </w:tcPr>
          <w:p w14:paraId="25A70F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经济成本</w:t>
            </w:r>
          </w:p>
          <w:p w14:paraId="79108D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373" w:type="dxa"/>
            <w:vAlign w:val="center"/>
          </w:tcPr>
          <w:p w14:paraId="645B60E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基本支出控制</w:t>
            </w:r>
          </w:p>
        </w:tc>
        <w:tc>
          <w:tcPr>
            <w:tcW w:w="1159" w:type="dxa"/>
            <w:vAlign w:val="center"/>
          </w:tcPr>
          <w:p w14:paraId="592A3CE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480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万元</w:t>
            </w:r>
          </w:p>
        </w:tc>
        <w:tc>
          <w:tcPr>
            <w:tcW w:w="1166" w:type="dxa"/>
            <w:vAlign w:val="center"/>
          </w:tcPr>
          <w:p w14:paraId="17DB8E6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464.89万元</w:t>
            </w:r>
          </w:p>
        </w:tc>
        <w:tc>
          <w:tcPr>
            <w:tcW w:w="591" w:type="dxa"/>
            <w:vAlign w:val="center"/>
          </w:tcPr>
          <w:p w14:paraId="7F8675C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4AFC1A4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70A81F3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19"/>
              </w:rPr>
            </w:pPr>
          </w:p>
        </w:tc>
      </w:tr>
      <w:tr w14:paraId="32B84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C63E4E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3697F4F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 w14:paraId="5567585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373" w:type="dxa"/>
            <w:vAlign w:val="center"/>
          </w:tcPr>
          <w:p w14:paraId="4F4152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项目支出控制</w:t>
            </w:r>
          </w:p>
        </w:tc>
        <w:tc>
          <w:tcPr>
            <w:tcW w:w="1159" w:type="dxa"/>
            <w:vAlign w:val="center"/>
          </w:tcPr>
          <w:p w14:paraId="43223E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≤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160万元</w:t>
            </w:r>
          </w:p>
        </w:tc>
        <w:tc>
          <w:tcPr>
            <w:tcW w:w="1166" w:type="dxa"/>
            <w:vAlign w:val="center"/>
          </w:tcPr>
          <w:p w14:paraId="249ABD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152.01万元</w:t>
            </w:r>
          </w:p>
        </w:tc>
        <w:tc>
          <w:tcPr>
            <w:tcW w:w="591" w:type="dxa"/>
            <w:vAlign w:val="center"/>
          </w:tcPr>
          <w:p w14:paraId="417338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0A275F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0FA5891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6EAA1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9BE748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5B6580E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14:paraId="485BE2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社会成本</w:t>
            </w:r>
          </w:p>
          <w:p w14:paraId="26B7C0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373" w:type="dxa"/>
            <w:vAlign w:val="center"/>
          </w:tcPr>
          <w:p w14:paraId="1EB980B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全年预算金额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617.39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万元，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保障各项工作、任务顺利完成</w:t>
            </w:r>
          </w:p>
        </w:tc>
        <w:tc>
          <w:tcPr>
            <w:tcW w:w="1159" w:type="dxa"/>
            <w:vAlign w:val="center"/>
          </w:tcPr>
          <w:p w14:paraId="3F5BCD6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66" w:type="dxa"/>
            <w:vAlign w:val="center"/>
          </w:tcPr>
          <w:p w14:paraId="11F4B95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119.11%</w:t>
            </w:r>
          </w:p>
        </w:tc>
        <w:tc>
          <w:tcPr>
            <w:tcW w:w="591" w:type="dxa"/>
            <w:vAlign w:val="center"/>
          </w:tcPr>
          <w:p w14:paraId="200928B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117" w:type="dxa"/>
            <w:vAlign w:val="center"/>
          </w:tcPr>
          <w:p w14:paraId="7FAA9A5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8.5</w:t>
            </w:r>
          </w:p>
        </w:tc>
        <w:tc>
          <w:tcPr>
            <w:tcW w:w="904" w:type="dxa"/>
            <w:vAlign w:val="center"/>
          </w:tcPr>
          <w:p w14:paraId="3B10C3F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  <w:r>
              <w:rPr>
                <w:rFonts w:hint="eastAsia"/>
                <w:sz w:val="20"/>
              </w:rPr>
              <w:t>中央补助资金</w:t>
            </w:r>
            <w:r>
              <w:rPr>
                <w:rFonts w:hint="eastAsia" w:eastAsia="宋体"/>
                <w:sz w:val="20"/>
                <w:lang w:val="en-US" w:eastAsia="zh-CN"/>
              </w:rPr>
              <w:t>80</w:t>
            </w:r>
            <w:r>
              <w:rPr>
                <w:rFonts w:hint="eastAsia"/>
                <w:sz w:val="20"/>
              </w:rPr>
              <w:t>万年初不计入预算</w:t>
            </w:r>
          </w:p>
        </w:tc>
      </w:tr>
      <w:tr w14:paraId="5E39F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D691A1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550999B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14:paraId="0175D9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生态成本</w:t>
            </w:r>
          </w:p>
          <w:p w14:paraId="08EC0B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373" w:type="dxa"/>
            <w:vAlign w:val="center"/>
          </w:tcPr>
          <w:p w14:paraId="0B70963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无直接影响</w:t>
            </w:r>
          </w:p>
        </w:tc>
        <w:tc>
          <w:tcPr>
            <w:tcW w:w="1159" w:type="dxa"/>
            <w:vAlign w:val="center"/>
          </w:tcPr>
          <w:p w14:paraId="184DA9A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1166" w:type="dxa"/>
            <w:vAlign w:val="center"/>
          </w:tcPr>
          <w:p w14:paraId="48604E6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591" w:type="dxa"/>
            <w:vAlign w:val="center"/>
          </w:tcPr>
          <w:p w14:paraId="746E079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73EFC5B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621E6D0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49B0A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B66B1B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104D6C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产出指标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center"/>
          </w:tcPr>
          <w:p w14:paraId="070925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  <w:t>数量</w:t>
            </w:r>
          </w:p>
          <w:p w14:paraId="196501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373" w:type="dxa"/>
            <w:vAlign w:val="center"/>
          </w:tcPr>
          <w:p w14:paraId="6288C44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医保工作重点完成率</w:t>
            </w:r>
          </w:p>
        </w:tc>
        <w:tc>
          <w:tcPr>
            <w:tcW w:w="1159" w:type="dxa"/>
            <w:vAlign w:val="center"/>
          </w:tcPr>
          <w:p w14:paraId="37EC411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≥90%</w:t>
            </w:r>
          </w:p>
        </w:tc>
        <w:tc>
          <w:tcPr>
            <w:tcW w:w="1166" w:type="dxa"/>
            <w:vAlign w:val="center"/>
          </w:tcPr>
          <w:p w14:paraId="519E039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≥90%</w:t>
            </w:r>
          </w:p>
        </w:tc>
        <w:tc>
          <w:tcPr>
            <w:tcW w:w="591" w:type="dxa"/>
            <w:vAlign w:val="center"/>
          </w:tcPr>
          <w:p w14:paraId="15DCC53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0236F26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63D890A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4F6A6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AEE9A0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134A663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 w14:paraId="0CFB706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/>
                <w:sz w:val="20"/>
              </w:rPr>
            </w:pPr>
          </w:p>
        </w:tc>
        <w:tc>
          <w:tcPr>
            <w:tcW w:w="1373" w:type="dxa"/>
            <w:vAlign w:val="center"/>
          </w:tcPr>
          <w:p w14:paraId="595CA73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做好医疗待遇保障</w:t>
            </w:r>
          </w:p>
        </w:tc>
        <w:tc>
          <w:tcPr>
            <w:tcW w:w="1159" w:type="dxa"/>
            <w:vAlign w:val="center"/>
          </w:tcPr>
          <w:p w14:paraId="33C23E7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1166" w:type="dxa"/>
            <w:vAlign w:val="center"/>
          </w:tcPr>
          <w:p w14:paraId="1EDAAF9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100%</w:t>
            </w:r>
          </w:p>
        </w:tc>
        <w:tc>
          <w:tcPr>
            <w:tcW w:w="591" w:type="dxa"/>
            <w:vAlign w:val="center"/>
          </w:tcPr>
          <w:p w14:paraId="734DCC1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71B4A4E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105F19E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19"/>
              </w:rPr>
            </w:pPr>
          </w:p>
        </w:tc>
      </w:tr>
      <w:tr w14:paraId="2F238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B3E7C7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717BCBE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center"/>
          </w:tcPr>
          <w:p w14:paraId="2603B6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  <w:t>质量</w:t>
            </w:r>
          </w:p>
          <w:p w14:paraId="5CDB8C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373" w:type="dxa"/>
            <w:vAlign w:val="center"/>
          </w:tcPr>
          <w:p w14:paraId="0839400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保障医保日常工作正常运转</w:t>
            </w:r>
          </w:p>
        </w:tc>
        <w:tc>
          <w:tcPr>
            <w:tcW w:w="1159" w:type="dxa"/>
            <w:vAlign w:val="center"/>
          </w:tcPr>
          <w:p w14:paraId="6798CCB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72EA7C3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4570281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117" w:type="dxa"/>
            <w:vAlign w:val="center"/>
          </w:tcPr>
          <w:p w14:paraId="64A373E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04" w:type="dxa"/>
            <w:vAlign w:val="center"/>
          </w:tcPr>
          <w:p w14:paraId="4BA59F3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1E6B4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2D968D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5A56F20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 w14:paraId="1194A33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/>
                <w:sz w:val="20"/>
              </w:rPr>
            </w:pPr>
          </w:p>
        </w:tc>
        <w:tc>
          <w:tcPr>
            <w:tcW w:w="1373" w:type="dxa"/>
            <w:vAlign w:val="center"/>
          </w:tcPr>
          <w:p w14:paraId="496B69B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业务办理差错率</w:t>
            </w:r>
          </w:p>
        </w:tc>
        <w:tc>
          <w:tcPr>
            <w:tcW w:w="1159" w:type="dxa"/>
            <w:vAlign w:val="center"/>
          </w:tcPr>
          <w:p w14:paraId="4F5D545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0%</w:t>
            </w:r>
          </w:p>
        </w:tc>
        <w:tc>
          <w:tcPr>
            <w:tcW w:w="1166" w:type="dxa"/>
            <w:vAlign w:val="center"/>
          </w:tcPr>
          <w:p w14:paraId="2BD41AE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0%</w:t>
            </w:r>
          </w:p>
        </w:tc>
        <w:tc>
          <w:tcPr>
            <w:tcW w:w="591" w:type="dxa"/>
            <w:vAlign w:val="center"/>
          </w:tcPr>
          <w:p w14:paraId="769F736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79C4B3E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1F95BBA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</w:tr>
      <w:tr w14:paraId="4C374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D61642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1276594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14:paraId="1B7CC7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时效</w:t>
            </w:r>
          </w:p>
          <w:p w14:paraId="36D0B3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</w:tc>
        <w:tc>
          <w:tcPr>
            <w:tcW w:w="1373" w:type="dxa"/>
            <w:vAlign w:val="center"/>
          </w:tcPr>
          <w:p w14:paraId="6C75D3D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完成及时性</w:t>
            </w:r>
          </w:p>
        </w:tc>
        <w:tc>
          <w:tcPr>
            <w:tcW w:w="1159" w:type="dxa"/>
            <w:vAlign w:val="center"/>
          </w:tcPr>
          <w:p w14:paraId="47E8EC7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2024年12月31日前</w:t>
            </w:r>
          </w:p>
        </w:tc>
        <w:tc>
          <w:tcPr>
            <w:tcW w:w="1166" w:type="dxa"/>
            <w:vAlign w:val="center"/>
          </w:tcPr>
          <w:p w14:paraId="18849C6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2024年12月31日前</w:t>
            </w:r>
          </w:p>
        </w:tc>
        <w:tc>
          <w:tcPr>
            <w:tcW w:w="591" w:type="dxa"/>
            <w:vAlign w:val="center"/>
          </w:tcPr>
          <w:p w14:paraId="699AD8C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117" w:type="dxa"/>
            <w:vAlign w:val="center"/>
          </w:tcPr>
          <w:p w14:paraId="7B85905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04" w:type="dxa"/>
            <w:vAlign w:val="center"/>
          </w:tcPr>
          <w:p w14:paraId="61698F8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19"/>
              </w:rPr>
            </w:pPr>
          </w:p>
        </w:tc>
      </w:tr>
      <w:tr w14:paraId="41D3D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4299BA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25C29A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效益指标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center"/>
          </w:tcPr>
          <w:p w14:paraId="451A78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  <w:t>经济效</w:t>
            </w:r>
          </w:p>
          <w:p w14:paraId="3264D9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1"/>
                <w:lang w:val="en-US" w:eastAsia="en-US" w:bidi="ar-SA"/>
              </w:rPr>
              <w:t>益指标</w:t>
            </w:r>
          </w:p>
        </w:tc>
        <w:tc>
          <w:tcPr>
            <w:tcW w:w="1373" w:type="dxa"/>
            <w:vAlign w:val="center"/>
          </w:tcPr>
          <w:p w14:paraId="2075BCD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促进医疗资源的合理利用</w:t>
            </w:r>
          </w:p>
        </w:tc>
        <w:tc>
          <w:tcPr>
            <w:tcW w:w="1159" w:type="dxa"/>
            <w:vAlign w:val="center"/>
          </w:tcPr>
          <w:p w14:paraId="128D181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34626B8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7E2A5F9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336F2EA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4501B47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0DA38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4769DA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7D26268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 w14:paraId="212E759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/>
                <w:sz w:val="20"/>
              </w:rPr>
            </w:pPr>
          </w:p>
        </w:tc>
        <w:tc>
          <w:tcPr>
            <w:tcW w:w="1373" w:type="dxa"/>
            <w:vAlign w:val="center"/>
          </w:tcPr>
          <w:p w14:paraId="18EF316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建立健全并有效执行各项管理制度，加强经费及资产管理，提高行政效率，降低行政成本</w:t>
            </w:r>
          </w:p>
        </w:tc>
        <w:tc>
          <w:tcPr>
            <w:tcW w:w="1159" w:type="dxa"/>
            <w:vAlign w:val="center"/>
          </w:tcPr>
          <w:p w14:paraId="1B6A446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0FDFBC9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5418615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667034D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504FC77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7A9BA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EA3771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27FB796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vMerge w:val="restart"/>
            <w:tcBorders>
              <w:bottom w:val="nil"/>
            </w:tcBorders>
            <w:vAlign w:val="center"/>
          </w:tcPr>
          <w:p w14:paraId="60378D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社会效</w:t>
            </w:r>
          </w:p>
          <w:p w14:paraId="18AFAD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373" w:type="dxa"/>
            <w:vAlign w:val="center"/>
          </w:tcPr>
          <w:p w14:paraId="054CA59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提升医保公共服务质量和水平</w:t>
            </w:r>
          </w:p>
        </w:tc>
        <w:tc>
          <w:tcPr>
            <w:tcW w:w="1159" w:type="dxa"/>
            <w:vAlign w:val="center"/>
          </w:tcPr>
          <w:p w14:paraId="51C9A44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6F7F19E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09C80CF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36F4982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0E7C1F5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19"/>
              </w:rPr>
            </w:pPr>
          </w:p>
        </w:tc>
      </w:tr>
      <w:tr w14:paraId="1FDE3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08F65C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35DADEB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 w14:paraId="0CF5610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373" w:type="dxa"/>
            <w:vAlign w:val="center"/>
          </w:tcPr>
          <w:p w14:paraId="221FE2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减轻患者的医疗费用压力，有效提升公众的健康水平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。</w:t>
            </w:r>
          </w:p>
        </w:tc>
        <w:tc>
          <w:tcPr>
            <w:tcW w:w="1159" w:type="dxa"/>
            <w:vAlign w:val="center"/>
          </w:tcPr>
          <w:p w14:paraId="7DCA6B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75DDE8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7C9AF0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48AEB4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2D2AF86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19"/>
              </w:rPr>
            </w:pPr>
          </w:p>
        </w:tc>
      </w:tr>
      <w:tr w14:paraId="63F58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F3CCF9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895828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14:paraId="739ED5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生态效</w:t>
            </w:r>
          </w:p>
          <w:p w14:paraId="239526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373" w:type="dxa"/>
            <w:vAlign w:val="center"/>
          </w:tcPr>
          <w:p w14:paraId="2C54D49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无直接影响</w:t>
            </w:r>
          </w:p>
        </w:tc>
        <w:tc>
          <w:tcPr>
            <w:tcW w:w="1159" w:type="dxa"/>
            <w:vAlign w:val="center"/>
          </w:tcPr>
          <w:p w14:paraId="3848712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1166" w:type="dxa"/>
            <w:vAlign w:val="center"/>
          </w:tcPr>
          <w:p w14:paraId="2A1B004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无</w:t>
            </w:r>
          </w:p>
        </w:tc>
        <w:tc>
          <w:tcPr>
            <w:tcW w:w="591" w:type="dxa"/>
            <w:vAlign w:val="center"/>
          </w:tcPr>
          <w:p w14:paraId="7F5AE9F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6FAA79E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0F1AC15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30BEF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52C926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414947F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14:paraId="28E67F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可持续影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响指标</w:t>
            </w:r>
          </w:p>
        </w:tc>
        <w:tc>
          <w:tcPr>
            <w:tcW w:w="1373" w:type="dxa"/>
            <w:vAlign w:val="center"/>
          </w:tcPr>
          <w:p w14:paraId="4DBBC47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保障医保工作正常有序开展</w:t>
            </w:r>
          </w:p>
        </w:tc>
        <w:tc>
          <w:tcPr>
            <w:tcW w:w="1159" w:type="dxa"/>
            <w:vAlign w:val="center"/>
          </w:tcPr>
          <w:p w14:paraId="779643F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48815EB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591" w:type="dxa"/>
            <w:vAlign w:val="center"/>
          </w:tcPr>
          <w:p w14:paraId="3A91C43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117" w:type="dxa"/>
            <w:vAlign w:val="center"/>
          </w:tcPr>
          <w:p w14:paraId="093D702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904" w:type="dxa"/>
            <w:vAlign w:val="center"/>
          </w:tcPr>
          <w:p w14:paraId="1DEFE22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19"/>
              </w:rPr>
            </w:pPr>
          </w:p>
        </w:tc>
      </w:tr>
      <w:tr w14:paraId="44A02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B7371F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14:paraId="20780A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满意度指标</w:t>
            </w: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14:paraId="64D60A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服务对象满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意度指标</w:t>
            </w:r>
          </w:p>
        </w:tc>
        <w:tc>
          <w:tcPr>
            <w:tcW w:w="1373" w:type="dxa"/>
            <w:vAlign w:val="center"/>
          </w:tcPr>
          <w:p w14:paraId="0380D90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使用人员满意度</w:t>
            </w:r>
          </w:p>
        </w:tc>
        <w:tc>
          <w:tcPr>
            <w:tcW w:w="1159" w:type="dxa"/>
            <w:vAlign w:val="center"/>
          </w:tcPr>
          <w:p w14:paraId="6C3D3FA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≥90%</w:t>
            </w:r>
          </w:p>
        </w:tc>
        <w:tc>
          <w:tcPr>
            <w:tcW w:w="1166" w:type="dxa"/>
            <w:vAlign w:val="center"/>
          </w:tcPr>
          <w:p w14:paraId="41A00D5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≥90%</w:t>
            </w:r>
          </w:p>
        </w:tc>
        <w:tc>
          <w:tcPr>
            <w:tcW w:w="591" w:type="dxa"/>
            <w:vAlign w:val="center"/>
          </w:tcPr>
          <w:p w14:paraId="7D7C6BF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117" w:type="dxa"/>
            <w:vAlign w:val="center"/>
          </w:tcPr>
          <w:p w14:paraId="01F45EA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904" w:type="dxa"/>
            <w:vAlign w:val="center"/>
          </w:tcPr>
          <w:p w14:paraId="19BC6A8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sz w:val="20"/>
              </w:rPr>
            </w:pPr>
          </w:p>
        </w:tc>
      </w:tr>
      <w:tr w14:paraId="7A8D0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131" w:type="dxa"/>
            <w:gridSpan w:val="6"/>
            <w:vAlign w:val="center"/>
          </w:tcPr>
          <w:p w14:paraId="2CA67F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总分</w:t>
            </w:r>
          </w:p>
        </w:tc>
        <w:tc>
          <w:tcPr>
            <w:tcW w:w="591" w:type="dxa"/>
            <w:vAlign w:val="center"/>
          </w:tcPr>
          <w:p w14:paraId="0349E7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100</w:t>
            </w:r>
          </w:p>
        </w:tc>
        <w:tc>
          <w:tcPr>
            <w:tcW w:w="1117" w:type="dxa"/>
            <w:vAlign w:val="center"/>
          </w:tcPr>
          <w:p w14:paraId="613707E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 w:bidi="ar-SA"/>
              </w:rPr>
              <w:t>98.5</w:t>
            </w:r>
          </w:p>
        </w:tc>
        <w:tc>
          <w:tcPr>
            <w:tcW w:w="904" w:type="dxa"/>
            <w:vAlign w:val="center"/>
          </w:tcPr>
          <w:p w14:paraId="30097F6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right="0" w:firstLine="0"/>
              <w:jc w:val="center"/>
              <w:textAlignment w:val="auto"/>
            </w:pPr>
          </w:p>
        </w:tc>
      </w:tr>
    </w:tbl>
    <w:p w14:paraId="04562FA5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line="246" w:lineRule="auto"/>
        <w:rPr>
          <w:rFonts w:ascii="Arial"/>
          <w:sz w:val="21"/>
        </w:rPr>
      </w:pPr>
    </w:p>
    <w:p w14:paraId="41E04044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before="254" w:line="231" w:lineRule="auto"/>
        <w:ind w:left="535"/>
        <w:rPr>
          <w:rFonts w:hint="default" w:ascii="仿宋" w:hAnsi="仿宋" w:eastAsia="仿宋" w:cs="仿宋"/>
          <w:sz w:val="20"/>
          <w:szCs w:val="20"/>
          <w:lang w:val="en-US" w:eastAsia="zh-CN"/>
        </w:rPr>
      </w:pPr>
      <w:r>
        <w:rPr>
          <w:rFonts w:ascii="仿宋" w:hAnsi="仿宋" w:eastAsia="仿宋" w:cs="仿宋"/>
          <w:spacing w:val="3"/>
          <w:sz w:val="20"/>
          <w:szCs w:val="20"/>
        </w:rPr>
        <w:t>填表人：</w:t>
      </w:r>
      <w:r>
        <w:rPr>
          <w:rFonts w:hint="eastAsia" w:ascii="仿宋" w:hAnsi="仿宋" w:eastAsia="仿宋" w:cs="仿宋"/>
          <w:spacing w:val="3"/>
          <w:sz w:val="20"/>
          <w:szCs w:val="20"/>
          <w:lang w:val="en-US" w:eastAsia="zh-CN"/>
        </w:rPr>
        <w:t xml:space="preserve">易康睿              </w:t>
      </w:r>
      <w:r>
        <w:rPr>
          <w:rFonts w:ascii="仿宋" w:hAnsi="仿宋" w:eastAsia="仿宋" w:cs="仿宋"/>
          <w:spacing w:val="3"/>
          <w:sz w:val="20"/>
          <w:szCs w:val="20"/>
        </w:rPr>
        <w:t>填报日期：</w:t>
      </w:r>
      <w:r>
        <w:rPr>
          <w:rFonts w:hint="eastAsia" w:ascii="仿宋" w:hAnsi="仿宋" w:eastAsia="仿宋" w:cs="仿宋"/>
          <w:spacing w:val="3"/>
          <w:sz w:val="20"/>
          <w:szCs w:val="20"/>
          <w:lang w:val="en-US" w:eastAsia="zh-CN"/>
        </w:rPr>
        <w:t xml:space="preserve">2025年6月9日    </w:t>
      </w:r>
      <w:r>
        <w:rPr>
          <w:rFonts w:ascii="仿宋" w:hAnsi="仿宋" w:eastAsia="仿宋" w:cs="仿宋"/>
          <w:spacing w:val="3"/>
          <w:sz w:val="20"/>
          <w:szCs w:val="20"/>
        </w:rPr>
        <w:t>联系电话：</w:t>
      </w:r>
      <w:r>
        <w:rPr>
          <w:rFonts w:hint="eastAsia" w:ascii="仿宋" w:hAnsi="仿宋" w:eastAsia="仿宋" w:cs="仿宋"/>
          <w:spacing w:val="3"/>
          <w:sz w:val="20"/>
          <w:szCs w:val="20"/>
          <w:lang w:val="en-US" w:eastAsia="zh-CN"/>
        </w:rPr>
        <w:t>2717696</w:t>
      </w:r>
    </w:p>
    <w:p w14:paraId="533551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15D23"/>
    <w:rsid w:val="1E51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2025-10-13T02:26:00Z</dcterms:created>
  <dc:creator>Yiaree</dc:creator>
  <cp:lastModifiedBy>Yiaree</cp:lastModifiedBy>
  <dcterms:modified xsi:type="dcterms:W3CDTF">2025-10-13T02:27:05Z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BB979D6F4A6D4602BCB04CD355176858_11</vt:lpwstr>
  </property>
  <property fmtid="{D5CDD505-2E9C-101B-9397-08002B2CF9AE}" pid="4" name="KSOTemplateDocerSaveRecord">
    <vt:lpwstr>eyJoZGlkIjoiYzJhN2M2MTc2MTg5NzdjZjQ0NjcyZTZkYTcyM2Y1ZTAiLCJ1c2VySWQiOiIzMzQ4MjEzMTgifQ==</vt:lpwstr>
  </property>
</Properties>
</file>