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7B355">
      <w:pPr>
        <w:pStyle w:val="2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spacing w:before="94" w:line="222" w:lineRule="auto"/>
        <w:ind w:left="114"/>
        <w:rPr>
          <w:rFonts w:hint="eastAsia" w:ascii="黑体" w:hAnsi="黑体" w:eastAsia="黑体" w:cs="黑体"/>
          <w:spacing w:val="2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7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7"/>
          <w:sz w:val="32"/>
          <w:szCs w:val="32"/>
          <w:lang w:val="en-US" w:eastAsia="zh-CN"/>
        </w:rPr>
        <w:t>1</w:t>
      </w:r>
    </w:p>
    <w:p w14:paraId="4DDBF452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spacing w:before="85" w:line="221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部门整体支出绩效评价基础数据表</w:t>
      </w:r>
    </w:p>
    <w:p w14:paraId="7298C754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spacing w:before="56"/>
      </w:pPr>
    </w:p>
    <w:tbl>
      <w:tblPr>
        <w:tblStyle w:val="5"/>
        <w:tblW w:w="920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8"/>
        <w:gridCol w:w="1179"/>
        <w:gridCol w:w="859"/>
        <w:gridCol w:w="1109"/>
        <w:gridCol w:w="1089"/>
        <w:gridCol w:w="969"/>
        <w:gridCol w:w="884"/>
      </w:tblGrid>
      <w:tr w14:paraId="5CC70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118" w:type="dxa"/>
            <w:vMerge w:val="restart"/>
            <w:tcBorders>
              <w:bottom w:val="nil"/>
            </w:tcBorders>
            <w:vAlign w:val="top"/>
          </w:tcPr>
          <w:p w14:paraId="690E38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875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财政供养人员情况</w:t>
            </w:r>
          </w:p>
        </w:tc>
        <w:tc>
          <w:tcPr>
            <w:tcW w:w="2038" w:type="dxa"/>
            <w:gridSpan w:val="2"/>
            <w:vAlign w:val="top"/>
          </w:tcPr>
          <w:p w14:paraId="109721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71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编制数</w:t>
            </w:r>
          </w:p>
        </w:tc>
        <w:tc>
          <w:tcPr>
            <w:tcW w:w="2198" w:type="dxa"/>
            <w:gridSpan w:val="2"/>
            <w:vAlign w:val="top"/>
          </w:tcPr>
          <w:p w14:paraId="2A0813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196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2024年实际在职人数</w:t>
            </w:r>
          </w:p>
        </w:tc>
        <w:tc>
          <w:tcPr>
            <w:tcW w:w="1853" w:type="dxa"/>
            <w:gridSpan w:val="2"/>
            <w:vAlign w:val="top"/>
          </w:tcPr>
          <w:p w14:paraId="35F760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617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控制率</w:t>
            </w:r>
          </w:p>
        </w:tc>
      </w:tr>
      <w:tr w14:paraId="600D6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118" w:type="dxa"/>
            <w:vMerge w:val="continue"/>
            <w:tcBorders>
              <w:top w:val="nil"/>
            </w:tcBorders>
            <w:vAlign w:val="top"/>
          </w:tcPr>
          <w:p w14:paraId="4028001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18"/>
                <w:szCs w:val="18"/>
              </w:rPr>
            </w:pPr>
          </w:p>
        </w:tc>
        <w:tc>
          <w:tcPr>
            <w:tcW w:w="2038" w:type="dxa"/>
            <w:gridSpan w:val="2"/>
            <w:vAlign w:val="center"/>
          </w:tcPr>
          <w:p w14:paraId="67CF3F3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2198" w:type="dxa"/>
            <w:gridSpan w:val="2"/>
            <w:vAlign w:val="center"/>
          </w:tcPr>
          <w:p w14:paraId="683D10A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53" w:type="dxa"/>
            <w:gridSpan w:val="2"/>
            <w:vAlign w:val="center"/>
          </w:tcPr>
          <w:p w14:paraId="722E626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93.94%</w:t>
            </w:r>
          </w:p>
        </w:tc>
      </w:tr>
      <w:tr w14:paraId="7E46C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118" w:type="dxa"/>
            <w:vAlign w:val="top"/>
          </w:tcPr>
          <w:p w14:paraId="0643C5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107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经费控制情况</w:t>
            </w:r>
          </w:p>
        </w:tc>
        <w:tc>
          <w:tcPr>
            <w:tcW w:w="2038" w:type="dxa"/>
            <w:gridSpan w:val="2"/>
            <w:vAlign w:val="center"/>
          </w:tcPr>
          <w:p w14:paraId="7C1C98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414"/>
              <w:jc w:val="center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2023年决算数</w:t>
            </w:r>
          </w:p>
        </w:tc>
        <w:tc>
          <w:tcPr>
            <w:tcW w:w="2198" w:type="dxa"/>
            <w:gridSpan w:val="2"/>
            <w:vAlign w:val="center"/>
          </w:tcPr>
          <w:p w14:paraId="5CA244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496"/>
              <w:jc w:val="center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2024年预算数</w:t>
            </w:r>
          </w:p>
        </w:tc>
        <w:tc>
          <w:tcPr>
            <w:tcW w:w="1853" w:type="dxa"/>
            <w:gridSpan w:val="2"/>
            <w:vAlign w:val="center"/>
          </w:tcPr>
          <w:p w14:paraId="2C70FF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317"/>
              <w:jc w:val="center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2024年决算数</w:t>
            </w:r>
          </w:p>
        </w:tc>
      </w:tr>
      <w:tr w14:paraId="1EFEF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top"/>
          </w:tcPr>
          <w:p w14:paraId="25048E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11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三公经费</w:t>
            </w:r>
          </w:p>
        </w:tc>
        <w:tc>
          <w:tcPr>
            <w:tcW w:w="2038" w:type="dxa"/>
            <w:gridSpan w:val="2"/>
            <w:vAlign w:val="center"/>
          </w:tcPr>
          <w:p w14:paraId="2165FA3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  <w:t>9495.00</w:t>
            </w:r>
          </w:p>
        </w:tc>
        <w:tc>
          <w:tcPr>
            <w:tcW w:w="2198" w:type="dxa"/>
            <w:gridSpan w:val="2"/>
            <w:vAlign w:val="center"/>
          </w:tcPr>
          <w:p w14:paraId="2DC5935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56000</w:t>
            </w:r>
          </w:p>
        </w:tc>
        <w:tc>
          <w:tcPr>
            <w:tcW w:w="1853" w:type="dxa"/>
            <w:gridSpan w:val="2"/>
            <w:vAlign w:val="center"/>
          </w:tcPr>
          <w:p w14:paraId="62BE5ED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51129</w:t>
            </w:r>
          </w:p>
        </w:tc>
      </w:tr>
      <w:tr w14:paraId="6C689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18" w:type="dxa"/>
            <w:vAlign w:val="top"/>
          </w:tcPr>
          <w:p w14:paraId="38A3A9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42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1、公务用车购置和维护经费</w:t>
            </w:r>
          </w:p>
        </w:tc>
        <w:tc>
          <w:tcPr>
            <w:tcW w:w="2038" w:type="dxa"/>
            <w:gridSpan w:val="2"/>
            <w:vAlign w:val="center"/>
          </w:tcPr>
          <w:p w14:paraId="1C56B04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76C225E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081FE58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01BE2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118" w:type="dxa"/>
            <w:vAlign w:val="top"/>
          </w:tcPr>
          <w:p w14:paraId="4B3D6F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97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其中：公车购置</w:t>
            </w:r>
          </w:p>
        </w:tc>
        <w:tc>
          <w:tcPr>
            <w:tcW w:w="2038" w:type="dxa"/>
            <w:gridSpan w:val="2"/>
            <w:vAlign w:val="center"/>
          </w:tcPr>
          <w:p w14:paraId="39FBCE1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5E42ECE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74DA258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3F79B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top"/>
          </w:tcPr>
          <w:p w14:paraId="345BDA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107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公车运行维护</w:t>
            </w:r>
          </w:p>
        </w:tc>
        <w:tc>
          <w:tcPr>
            <w:tcW w:w="2038" w:type="dxa"/>
            <w:gridSpan w:val="2"/>
            <w:vAlign w:val="center"/>
          </w:tcPr>
          <w:p w14:paraId="384EE67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198" w:type="dxa"/>
            <w:gridSpan w:val="2"/>
            <w:vAlign w:val="center"/>
          </w:tcPr>
          <w:p w14:paraId="64424D9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26000</w:t>
            </w:r>
          </w:p>
        </w:tc>
        <w:tc>
          <w:tcPr>
            <w:tcW w:w="1853" w:type="dxa"/>
            <w:gridSpan w:val="2"/>
            <w:vAlign w:val="center"/>
          </w:tcPr>
          <w:p w14:paraId="286E086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44000</w:t>
            </w:r>
          </w:p>
        </w:tc>
      </w:tr>
      <w:tr w14:paraId="128D5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top"/>
          </w:tcPr>
          <w:p w14:paraId="071D5B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42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2、出国经费</w:t>
            </w:r>
          </w:p>
        </w:tc>
        <w:tc>
          <w:tcPr>
            <w:tcW w:w="2038" w:type="dxa"/>
            <w:gridSpan w:val="2"/>
            <w:vAlign w:val="center"/>
          </w:tcPr>
          <w:p w14:paraId="2214AE8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700256F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5A97753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276D2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top"/>
          </w:tcPr>
          <w:p w14:paraId="435371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41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3、公务接待</w:t>
            </w:r>
          </w:p>
        </w:tc>
        <w:tc>
          <w:tcPr>
            <w:tcW w:w="2038" w:type="dxa"/>
            <w:gridSpan w:val="2"/>
            <w:vAlign w:val="center"/>
          </w:tcPr>
          <w:p w14:paraId="6351B49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29495</w:t>
            </w:r>
          </w:p>
        </w:tc>
        <w:tc>
          <w:tcPr>
            <w:tcW w:w="2198" w:type="dxa"/>
            <w:gridSpan w:val="2"/>
            <w:vAlign w:val="center"/>
          </w:tcPr>
          <w:p w14:paraId="2526017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853" w:type="dxa"/>
            <w:gridSpan w:val="2"/>
            <w:vAlign w:val="center"/>
          </w:tcPr>
          <w:p w14:paraId="4907248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7129</w:t>
            </w:r>
          </w:p>
        </w:tc>
      </w:tr>
      <w:tr w14:paraId="4E588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top"/>
          </w:tcPr>
          <w:p w14:paraId="6A4D25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11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项目支出：</w:t>
            </w:r>
          </w:p>
        </w:tc>
        <w:tc>
          <w:tcPr>
            <w:tcW w:w="2038" w:type="dxa"/>
            <w:gridSpan w:val="2"/>
            <w:vAlign w:val="center"/>
          </w:tcPr>
          <w:p w14:paraId="14C4B47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2E8CECD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65B3E68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0207D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3118" w:type="dxa"/>
            <w:vAlign w:val="top"/>
          </w:tcPr>
          <w:p w14:paraId="22BAE7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525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1、业务工作经费</w:t>
            </w:r>
          </w:p>
        </w:tc>
        <w:tc>
          <w:tcPr>
            <w:tcW w:w="2038" w:type="dxa"/>
            <w:gridSpan w:val="2"/>
            <w:vAlign w:val="center"/>
          </w:tcPr>
          <w:p w14:paraId="6E3EB7D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2FF8143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3BE87BF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57DF3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top"/>
          </w:tcPr>
          <w:p w14:paraId="63B1A3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515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2、运行维护经费</w:t>
            </w:r>
          </w:p>
        </w:tc>
        <w:tc>
          <w:tcPr>
            <w:tcW w:w="2038" w:type="dxa"/>
            <w:gridSpan w:val="2"/>
            <w:vAlign w:val="center"/>
          </w:tcPr>
          <w:p w14:paraId="1FF6F17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2916683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 xml:space="preserve">   </w:t>
            </w:r>
          </w:p>
        </w:tc>
        <w:tc>
          <w:tcPr>
            <w:tcW w:w="1853" w:type="dxa"/>
            <w:gridSpan w:val="2"/>
            <w:vAlign w:val="center"/>
          </w:tcPr>
          <w:p w14:paraId="55BEA59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47F16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18" w:type="dxa"/>
            <w:vAlign w:val="top"/>
          </w:tcPr>
          <w:p w14:paraId="369345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505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3、本级专项资金</w:t>
            </w:r>
          </w:p>
          <w:p w14:paraId="5EF825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97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(一个专项一行)</w:t>
            </w:r>
          </w:p>
        </w:tc>
        <w:tc>
          <w:tcPr>
            <w:tcW w:w="2038" w:type="dxa"/>
            <w:gridSpan w:val="2"/>
            <w:vAlign w:val="center"/>
          </w:tcPr>
          <w:p w14:paraId="5B94605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7CAB9DD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536AC30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4A10F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118" w:type="dxa"/>
            <w:vAlign w:val="top"/>
          </w:tcPr>
          <w:p w14:paraId="5557B2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left"/>
              <w:textAlignment w:val="auto"/>
              <w:rPr>
                <w:rFonts w:ascii="宋体" w:hAnsi="宋体" w:eastAsia="宋体" w:cs="宋体"/>
                <w:spacing w:val="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医疗生育保险基金参保登记、医保关系转移、医保待遇支付待遇支付等工作经费</w:t>
            </w:r>
          </w:p>
        </w:tc>
        <w:tc>
          <w:tcPr>
            <w:tcW w:w="2038" w:type="dxa"/>
            <w:gridSpan w:val="2"/>
            <w:vAlign w:val="center"/>
          </w:tcPr>
          <w:p w14:paraId="1A03975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395201.80</w:t>
            </w:r>
          </w:p>
        </w:tc>
        <w:tc>
          <w:tcPr>
            <w:tcW w:w="2198" w:type="dxa"/>
            <w:gridSpan w:val="2"/>
            <w:vAlign w:val="center"/>
          </w:tcPr>
          <w:p w14:paraId="62B5119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400000</w:t>
            </w:r>
          </w:p>
        </w:tc>
        <w:tc>
          <w:tcPr>
            <w:tcW w:w="1853" w:type="dxa"/>
            <w:gridSpan w:val="2"/>
            <w:vAlign w:val="center"/>
          </w:tcPr>
          <w:p w14:paraId="5829BA4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395129</w:t>
            </w:r>
          </w:p>
        </w:tc>
      </w:tr>
      <w:tr w14:paraId="5D4D5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118" w:type="dxa"/>
            <w:vAlign w:val="top"/>
          </w:tcPr>
          <w:p w14:paraId="5B9DE9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textAlignment w:val="auto"/>
              <w:rPr>
                <w:rFonts w:ascii="宋体" w:hAnsi="宋体" w:eastAsia="宋体" w:cs="宋体"/>
                <w:spacing w:val="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大病互助保险管理经费</w:t>
            </w:r>
          </w:p>
        </w:tc>
        <w:tc>
          <w:tcPr>
            <w:tcW w:w="2038" w:type="dxa"/>
            <w:gridSpan w:val="2"/>
            <w:vAlign w:val="center"/>
          </w:tcPr>
          <w:p w14:paraId="6E36DDD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125000</w:t>
            </w:r>
          </w:p>
        </w:tc>
        <w:tc>
          <w:tcPr>
            <w:tcW w:w="2198" w:type="dxa"/>
            <w:gridSpan w:val="2"/>
            <w:vAlign w:val="center"/>
          </w:tcPr>
          <w:p w14:paraId="52E8E31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125000</w:t>
            </w:r>
          </w:p>
        </w:tc>
        <w:tc>
          <w:tcPr>
            <w:tcW w:w="1853" w:type="dxa"/>
            <w:gridSpan w:val="2"/>
            <w:vAlign w:val="center"/>
          </w:tcPr>
          <w:p w14:paraId="78AEED3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125000</w:t>
            </w:r>
          </w:p>
        </w:tc>
      </w:tr>
      <w:tr w14:paraId="6E2CF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18" w:type="dxa"/>
            <w:vAlign w:val="top"/>
          </w:tcPr>
          <w:p w14:paraId="647180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textAlignment w:val="auto"/>
              <w:rPr>
                <w:rFonts w:ascii="宋体" w:hAnsi="宋体" w:eastAsia="宋体" w:cs="宋体"/>
                <w:spacing w:val="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医保信息系统维护</w:t>
            </w:r>
          </w:p>
        </w:tc>
        <w:tc>
          <w:tcPr>
            <w:tcW w:w="2038" w:type="dxa"/>
            <w:gridSpan w:val="2"/>
            <w:vAlign w:val="center"/>
          </w:tcPr>
          <w:p w14:paraId="3214857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2198" w:type="dxa"/>
            <w:gridSpan w:val="2"/>
            <w:vAlign w:val="center"/>
          </w:tcPr>
          <w:p w14:paraId="6227B27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1853" w:type="dxa"/>
            <w:gridSpan w:val="2"/>
            <w:vAlign w:val="center"/>
          </w:tcPr>
          <w:p w14:paraId="760D743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100000</w:t>
            </w:r>
          </w:p>
        </w:tc>
      </w:tr>
      <w:tr w14:paraId="65941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118" w:type="dxa"/>
            <w:vAlign w:val="top"/>
          </w:tcPr>
          <w:p w14:paraId="293312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textAlignment w:val="auto"/>
              <w:rPr>
                <w:rFonts w:ascii="宋体" w:hAnsi="宋体" w:eastAsia="宋体" w:cs="宋体"/>
                <w:spacing w:val="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慢特病评审项目经费</w:t>
            </w:r>
          </w:p>
        </w:tc>
        <w:tc>
          <w:tcPr>
            <w:tcW w:w="2038" w:type="dxa"/>
            <w:gridSpan w:val="2"/>
            <w:vAlign w:val="center"/>
          </w:tcPr>
          <w:p w14:paraId="3779482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2198" w:type="dxa"/>
            <w:gridSpan w:val="2"/>
            <w:vAlign w:val="center"/>
          </w:tcPr>
          <w:p w14:paraId="4309456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1853" w:type="dxa"/>
            <w:gridSpan w:val="2"/>
            <w:vAlign w:val="center"/>
          </w:tcPr>
          <w:p w14:paraId="54A7B5C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100000</w:t>
            </w:r>
          </w:p>
        </w:tc>
      </w:tr>
      <w:tr w14:paraId="39C40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118" w:type="dxa"/>
            <w:vAlign w:val="top"/>
          </w:tcPr>
          <w:p w14:paraId="67CE1A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textAlignment w:val="auto"/>
              <w:rPr>
                <w:rFonts w:ascii="宋体" w:hAnsi="宋体" w:eastAsia="宋体" w:cs="宋体"/>
                <w:spacing w:val="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医疗服务与保障能力提升</w:t>
            </w:r>
          </w:p>
        </w:tc>
        <w:tc>
          <w:tcPr>
            <w:tcW w:w="2038" w:type="dxa"/>
            <w:gridSpan w:val="2"/>
            <w:vAlign w:val="center"/>
          </w:tcPr>
          <w:p w14:paraId="56BAFE8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750000</w:t>
            </w:r>
          </w:p>
        </w:tc>
        <w:tc>
          <w:tcPr>
            <w:tcW w:w="2198" w:type="dxa"/>
            <w:gridSpan w:val="2"/>
            <w:vAlign w:val="center"/>
          </w:tcPr>
          <w:p w14:paraId="18B161D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2E5FEC6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800000</w:t>
            </w:r>
          </w:p>
        </w:tc>
      </w:tr>
      <w:tr w14:paraId="6B974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top"/>
          </w:tcPr>
          <w:p w14:paraId="3FF2E9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62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4、其他事业类发展资金</w:t>
            </w:r>
          </w:p>
        </w:tc>
        <w:tc>
          <w:tcPr>
            <w:tcW w:w="2038" w:type="dxa"/>
            <w:gridSpan w:val="2"/>
            <w:vAlign w:val="center"/>
          </w:tcPr>
          <w:p w14:paraId="5F1154C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773D419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70ECF6B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503AB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top"/>
          </w:tcPr>
          <w:p w14:paraId="32A2D3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11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公用经费</w:t>
            </w:r>
          </w:p>
        </w:tc>
        <w:tc>
          <w:tcPr>
            <w:tcW w:w="2038" w:type="dxa"/>
            <w:gridSpan w:val="2"/>
            <w:vAlign w:val="center"/>
          </w:tcPr>
          <w:p w14:paraId="5D4FD75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628945.42</w:t>
            </w:r>
          </w:p>
        </w:tc>
        <w:tc>
          <w:tcPr>
            <w:tcW w:w="2198" w:type="dxa"/>
            <w:gridSpan w:val="2"/>
            <w:vAlign w:val="center"/>
          </w:tcPr>
          <w:p w14:paraId="59F36EC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2978DF7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467902.92</w:t>
            </w:r>
          </w:p>
        </w:tc>
      </w:tr>
      <w:tr w14:paraId="14E15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top"/>
          </w:tcPr>
          <w:p w14:paraId="7DBA73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515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其中：办公费</w:t>
            </w:r>
          </w:p>
        </w:tc>
        <w:tc>
          <w:tcPr>
            <w:tcW w:w="2038" w:type="dxa"/>
            <w:gridSpan w:val="2"/>
            <w:vAlign w:val="center"/>
          </w:tcPr>
          <w:p w14:paraId="363A5BD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60084.95</w:t>
            </w:r>
          </w:p>
        </w:tc>
        <w:tc>
          <w:tcPr>
            <w:tcW w:w="2198" w:type="dxa"/>
            <w:gridSpan w:val="2"/>
            <w:vAlign w:val="center"/>
          </w:tcPr>
          <w:p w14:paraId="3C4F429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28BD832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11847.14</w:t>
            </w:r>
          </w:p>
        </w:tc>
      </w:tr>
      <w:tr w14:paraId="3DDA9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118" w:type="dxa"/>
            <w:vAlign w:val="top"/>
          </w:tcPr>
          <w:p w14:paraId="47EDEE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910" w:firstLineChars="500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水费、电费、差旅费</w:t>
            </w:r>
          </w:p>
        </w:tc>
        <w:tc>
          <w:tcPr>
            <w:tcW w:w="2038" w:type="dxa"/>
            <w:gridSpan w:val="2"/>
            <w:vAlign w:val="center"/>
          </w:tcPr>
          <w:p w14:paraId="68EFFA9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5760.47</w:t>
            </w:r>
          </w:p>
        </w:tc>
        <w:tc>
          <w:tcPr>
            <w:tcW w:w="2198" w:type="dxa"/>
            <w:gridSpan w:val="2"/>
            <w:vAlign w:val="center"/>
          </w:tcPr>
          <w:p w14:paraId="7FB96E6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05CCBF1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3780</w:t>
            </w:r>
          </w:p>
        </w:tc>
      </w:tr>
      <w:tr w14:paraId="763D6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18" w:type="dxa"/>
            <w:vAlign w:val="top"/>
          </w:tcPr>
          <w:p w14:paraId="12DAC0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97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会议费、培训费</w:t>
            </w:r>
          </w:p>
        </w:tc>
        <w:tc>
          <w:tcPr>
            <w:tcW w:w="2038" w:type="dxa"/>
            <w:gridSpan w:val="2"/>
            <w:vAlign w:val="center"/>
          </w:tcPr>
          <w:p w14:paraId="39C4696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589FDC4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0134A90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37417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118" w:type="dxa"/>
            <w:vAlign w:val="top"/>
          </w:tcPr>
          <w:p w14:paraId="23791D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11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政府采购金额</w:t>
            </w:r>
          </w:p>
        </w:tc>
        <w:tc>
          <w:tcPr>
            <w:tcW w:w="2038" w:type="dxa"/>
            <w:gridSpan w:val="2"/>
            <w:vAlign w:val="center"/>
          </w:tcPr>
          <w:p w14:paraId="1EC0B52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17999.00</w:t>
            </w:r>
          </w:p>
        </w:tc>
        <w:tc>
          <w:tcPr>
            <w:tcW w:w="2198" w:type="dxa"/>
            <w:gridSpan w:val="2"/>
            <w:vAlign w:val="center"/>
          </w:tcPr>
          <w:p w14:paraId="415BB24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53" w:type="dxa"/>
            <w:gridSpan w:val="2"/>
            <w:vAlign w:val="center"/>
          </w:tcPr>
          <w:p w14:paraId="546546F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98942.85</w:t>
            </w:r>
          </w:p>
        </w:tc>
      </w:tr>
      <w:tr w14:paraId="3E832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3118" w:type="dxa"/>
            <w:vAlign w:val="top"/>
          </w:tcPr>
          <w:p w14:paraId="572BB1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11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部门基本支出预算调整</w:t>
            </w:r>
          </w:p>
        </w:tc>
        <w:tc>
          <w:tcPr>
            <w:tcW w:w="2038" w:type="dxa"/>
            <w:gridSpan w:val="2"/>
            <w:vAlign w:val="center"/>
          </w:tcPr>
          <w:p w14:paraId="51DF547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1FC3E48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090125C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18"/>
                <w:szCs w:val="18"/>
              </w:rPr>
            </w:pPr>
          </w:p>
        </w:tc>
      </w:tr>
      <w:tr w14:paraId="230A5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3118" w:type="dxa"/>
            <w:vMerge w:val="restart"/>
            <w:tcBorders>
              <w:bottom w:val="nil"/>
            </w:tcBorders>
            <w:vAlign w:val="top"/>
          </w:tcPr>
          <w:p w14:paraId="08BD642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90" w:lineRule="auto"/>
              <w:textAlignment w:val="auto"/>
              <w:rPr>
                <w:sz w:val="18"/>
                <w:szCs w:val="18"/>
              </w:rPr>
            </w:pPr>
          </w:p>
          <w:p w14:paraId="13EC7F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875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楼堂馆所控制情况</w:t>
            </w:r>
          </w:p>
          <w:p w14:paraId="5AA9D6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875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(2024年完工情况)</w:t>
            </w:r>
          </w:p>
        </w:tc>
        <w:tc>
          <w:tcPr>
            <w:tcW w:w="1179" w:type="dxa"/>
            <w:vAlign w:val="top"/>
          </w:tcPr>
          <w:p w14:paraId="1FFFCE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184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批复规模</w:t>
            </w:r>
          </w:p>
          <w:p w14:paraId="324D12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2" w:lineRule="auto"/>
              <w:ind w:left="333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9"/>
                <w:sz w:val="18"/>
                <w:szCs w:val="18"/>
              </w:rPr>
              <w:t>(m²)</w:t>
            </w:r>
          </w:p>
        </w:tc>
        <w:tc>
          <w:tcPr>
            <w:tcW w:w="859" w:type="dxa"/>
            <w:vAlign w:val="top"/>
          </w:tcPr>
          <w:p w14:paraId="287B47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3" w:lineRule="auto"/>
              <w:ind w:left="74" w:right="30" w:firstLine="50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实际规</w:t>
            </w:r>
            <w:r>
              <w:rPr>
                <w:rFonts w:ascii="宋体" w:hAnsi="宋体" w:eastAsia="宋体" w:cs="宋体"/>
                <w:spacing w:val="28"/>
                <w:sz w:val="18"/>
                <w:szCs w:val="18"/>
              </w:rPr>
              <w:t>模(m²)</w:t>
            </w:r>
          </w:p>
        </w:tc>
        <w:tc>
          <w:tcPr>
            <w:tcW w:w="1109" w:type="dxa"/>
            <w:vAlign w:val="top"/>
          </w:tcPr>
          <w:p w14:paraId="1AD0C0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4" w:lineRule="auto"/>
              <w:ind w:left="444" w:right="135" w:hanging="299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规模控制</w:t>
            </w:r>
            <w:r>
              <w:rPr>
                <w:rFonts w:ascii="宋体" w:hAnsi="宋体" w:eastAsia="宋体" w:cs="宋体"/>
                <w:sz w:val="18"/>
                <w:szCs w:val="18"/>
              </w:rPr>
              <w:t>率</w:t>
            </w:r>
          </w:p>
        </w:tc>
        <w:tc>
          <w:tcPr>
            <w:tcW w:w="1089" w:type="dxa"/>
            <w:vAlign w:val="top"/>
          </w:tcPr>
          <w:p w14:paraId="5D9D36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136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预算投资</w:t>
            </w:r>
          </w:p>
          <w:p w14:paraId="1008A6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237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(万元)</w:t>
            </w:r>
          </w:p>
        </w:tc>
        <w:tc>
          <w:tcPr>
            <w:tcW w:w="969" w:type="dxa"/>
            <w:vAlign w:val="top"/>
          </w:tcPr>
          <w:p w14:paraId="35490A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177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实际投</w:t>
            </w:r>
          </w:p>
          <w:p w14:paraId="4757F0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31" w:lineRule="auto"/>
              <w:ind w:left="326" w:right="218" w:hanging="99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资(万</w:t>
            </w: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元)</w:t>
            </w:r>
          </w:p>
        </w:tc>
        <w:tc>
          <w:tcPr>
            <w:tcW w:w="884" w:type="dxa"/>
            <w:vAlign w:val="top"/>
          </w:tcPr>
          <w:p w14:paraId="1FF564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138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投资概</w:t>
            </w:r>
          </w:p>
          <w:p w14:paraId="2889AD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138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算控制</w:t>
            </w:r>
          </w:p>
          <w:p w14:paraId="23F0D8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339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率</w:t>
            </w:r>
          </w:p>
        </w:tc>
      </w:tr>
      <w:tr w14:paraId="2B98F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118" w:type="dxa"/>
            <w:vMerge w:val="continue"/>
            <w:tcBorders>
              <w:top w:val="nil"/>
            </w:tcBorders>
            <w:vAlign w:val="top"/>
          </w:tcPr>
          <w:p w14:paraId="5BE1DB3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79" w:type="dxa"/>
            <w:vAlign w:val="top"/>
          </w:tcPr>
          <w:p w14:paraId="1AF3C8C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18"/>
                <w:szCs w:val="18"/>
              </w:rPr>
            </w:pPr>
          </w:p>
        </w:tc>
        <w:tc>
          <w:tcPr>
            <w:tcW w:w="859" w:type="dxa"/>
            <w:vAlign w:val="top"/>
          </w:tcPr>
          <w:p w14:paraId="22D44A9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18"/>
                <w:szCs w:val="18"/>
              </w:rPr>
            </w:pPr>
          </w:p>
        </w:tc>
        <w:tc>
          <w:tcPr>
            <w:tcW w:w="1109" w:type="dxa"/>
            <w:vAlign w:val="top"/>
          </w:tcPr>
          <w:p w14:paraId="38182BE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18"/>
                <w:szCs w:val="18"/>
              </w:rPr>
            </w:pPr>
          </w:p>
        </w:tc>
        <w:tc>
          <w:tcPr>
            <w:tcW w:w="1089" w:type="dxa"/>
            <w:vAlign w:val="top"/>
          </w:tcPr>
          <w:p w14:paraId="41FFF67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18"/>
                <w:szCs w:val="18"/>
              </w:rPr>
            </w:pPr>
          </w:p>
        </w:tc>
        <w:tc>
          <w:tcPr>
            <w:tcW w:w="969" w:type="dxa"/>
            <w:vAlign w:val="top"/>
          </w:tcPr>
          <w:p w14:paraId="5337FE6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top"/>
          </w:tcPr>
          <w:p w14:paraId="712EE9E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18"/>
                <w:szCs w:val="18"/>
              </w:rPr>
            </w:pPr>
          </w:p>
        </w:tc>
      </w:tr>
      <w:tr w14:paraId="5E69A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118" w:type="dxa"/>
            <w:vAlign w:val="top"/>
          </w:tcPr>
          <w:p w14:paraId="1B3804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875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厉行节约保障措施</w:t>
            </w:r>
          </w:p>
        </w:tc>
        <w:tc>
          <w:tcPr>
            <w:tcW w:w="6089" w:type="dxa"/>
            <w:gridSpan w:val="6"/>
            <w:vAlign w:val="top"/>
          </w:tcPr>
          <w:p w14:paraId="2470D05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进一步规范财务报账审批程序、合同协议审批程序、费用结算程序，明确院内物资、项目采购要求、流程，特别是对院内实施的工程项目严格按照财政相关项目评审、公开公平竞价等规定开展，在所有采购和项目实施过程中严格按相关财政要求执行，坚持勤俭节约、非必要不采购和廉洁自律纪律要求。</w:t>
            </w:r>
          </w:p>
        </w:tc>
      </w:tr>
    </w:tbl>
    <w:p w14:paraId="4314E7E1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spacing w:before="62" w:line="250" w:lineRule="auto"/>
        <w:ind w:right="400"/>
        <w:rPr>
          <w:rFonts w:ascii="仿宋" w:hAnsi="仿宋" w:eastAsia="仿宋" w:cs="仿宋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说明：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“</w:t>
      </w:r>
      <w:r>
        <w:rPr>
          <w:rFonts w:ascii="宋体" w:hAnsi="宋体" w:eastAsia="宋体" w:cs="宋体"/>
          <w:sz w:val="18"/>
          <w:szCs w:val="18"/>
        </w:rPr>
        <w:t>项目支出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”</w:t>
      </w:r>
      <w:r>
        <w:rPr>
          <w:rFonts w:ascii="宋体" w:hAnsi="宋体" w:eastAsia="宋体" w:cs="宋体"/>
          <w:sz w:val="18"/>
          <w:szCs w:val="18"/>
        </w:rPr>
        <w:t>需要填报基本支出以外的所有项目支出情</w:t>
      </w:r>
      <w:r>
        <w:rPr>
          <w:rFonts w:ascii="宋体" w:hAnsi="宋体" w:eastAsia="宋体" w:cs="宋体"/>
          <w:spacing w:val="-1"/>
          <w:sz w:val="18"/>
          <w:szCs w:val="18"/>
        </w:rPr>
        <w:t>况，“公用经费”填报基本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支出中的一般商品和服务支出。</w:t>
      </w:r>
    </w:p>
    <w:p w14:paraId="34D92AB2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spacing w:before="254" w:line="231" w:lineRule="auto"/>
        <w:ind w:left="535"/>
        <w:rPr>
          <w:rFonts w:hint="default" w:eastAsia="仿宋"/>
          <w:lang w:val="en-US" w:eastAsia="zh-CN"/>
        </w:rPr>
      </w:pPr>
      <w:r>
        <w:rPr>
          <w:rFonts w:ascii="仿宋" w:hAnsi="仿宋" w:eastAsia="仿宋" w:cs="仿宋"/>
          <w:spacing w:val="3"/>
          <w:sz w:val="18"/>
          <w:szCs w:val="18"/>
        </w:rPr>
        <w:t>填表人：</w:t>
      </w:r>
      <w:r>
        <w:rPr>
          <w:rFonts w:hint="eastAsia" w:ascii="仿宋" w:hAnsi="仿宋" w:eastAsia="仿宋" w:cs="仿宋"/>
          <w:spacing w:val="3"/>
          <w:sz w:val="18"/>
          <w:szCs w:val="18"/>
          <w:lang w:val="en-US" w:eastAsia="zh-CN"/>
        </w:rPr>
        <w:t xml:space="preserve">易康睿           </w:t>
      </w:r>
      <w:r>
        <w:rPr>
          <w:rFonts w:ascii="仿宋" w:hAnsi="仿宋" w:eastAsia="仿宋" w:cs="仿宋"/>
          <w:spacing w:val="3"/>
          <w:sz w:val="18"/>
          <w:szCs w:val="18"/>
        </w:rPr>
        <w:t>填报日期：</w:t>
      </w:r>
      <w:r>
        <w:rPr>
          <w:rFonts w:hint="eastAsia" w:ascii="仿宋" w:hAnsi="仿宋" w:eastAsia="仿宋" w:cs="仿宋"/>
          <w:spacing w:val="3"/>
          <w:sz w:val="18"/>
          <w:szCs w:val="18"/>
          <w:lang w:val="en-US" w:eastAsia="zh-CN"/>
        </w:rPr>
        <w:t xml:space="preserve">2025年6月9日       </w:t>
      </w:r>
      <w:r>
        <w:rPr>
          <w:rFonts w:ascii="仿宋" w:hAnsi="仿宋" w:eastAsia="仿宋" w:cs="仿宋"/>
          <w:spacing w:val="3"/>
          <w:sz w:val="18"/>
          <w:szCs w:val="18"/>
        </w:rPr>
        <w:t>联系电话：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2717696</w:t>
      </w:r>
    </w:p>
    <w:p w14:paraId="5A3E0D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E1D0B"/>
    <w:rsid w:val="0F2E1D0B"/>
    <w:rsid w:val="4BFB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571</Words>
  <Characters>769</Characters>
  <Lines>0</Lines>
  <Paragraphs>0</Paragraphs>
  <TotalTime>1</TotalTime>
  <ScaleCrop>false</ScaleCrop>
  <LinksUpToDate>false</LinksUpToDate>
  <CharactersWithSpaces>790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2025-10-13T02:25:00Z</dcterms:created>
  <dc:creator>Yiaree</dc:creator>
  <cp:lastModifiedBy>Yiaree</cp:lastModifiedBy>
  <dcterms:modified xsi:type="dcterms:W3CDTF">2025-10-13T03:02:38Z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61C57AF272864C6CB41FFC6F358883BE_11</vt:lpwstr>
  </property>
  <property fmtid="{D5CDD505-2E9C-101B-9397-08002B2CF9AE}" pid="4" name="KSOTemplateDocerSaveRecord">
    <vt:lpwstr>eyJoZGlkIjoiYzJhN2M2MTc2MTg5NzdjZjQ0NjcyZTZkYTcyM2Y1ZTAiLCJ1c2VySWQiOiIzMzQ4MjEzMTgifQ==</vt:lpwstr>
  </property>
</Properties>
</file>