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B6187">
      <w:pPr>
        <w:pStyle w:val="13"/>
        <w:jc w:val="both"/>
        <w:rPr>
          <w:rFonts w:hAnsi="黑体"/>
          <w:sz w:val="36"/>
          <w:szCs w:val="36"/>
        </w:rPr>
      </w:pPr>
      <w:r>
        <w:rPr>
          <w:rFonts w:hint="eastAsia" w:hAnsi="黑体"/>
          <w:sz w:val="36"/>
          <w:szCs w:val="36"/>
        </w:rPr>
        <w:t>附件1</w:t>
      </w:r>
    </w:p>
    <w:p w14:paraId="30AF6F29">
      <w:pPr>
        <w:pStyle w:val="13"/>
        <w:jc w:val="center"/>
        <w:rPr>
          <w:rFonts w:ascii="Times New Roman" w:hAnsi="Times New Roman" w:cs="Times New Roman"/>
          <w:sz w:val="56"/>
          <w:szCs w:val="56"/>
        </w:rPr>
      </w:pPr>
    </w:p>
    <w:p w14:paraId="5EBE7205">
      <w:pPr>
        <w:pStyle w:val="13"/>
        <w:jc w:val="center"/>
        <w:rPr>
          <w:rFonts w:ascii="Times New Roman" w:hAnsi="Times New Roman" w:cs="Times New Roman"/>
          <w:sz w:val="84"/>
          <w:szCs w:val="84"/>
        </w:rPr>
      </w:pPr>
    </w:p>
    <w:p w14:paraId="580BD495">
      <w:pPr>
        <w:pStyle w:val="13"/>
        <w:jc w:val="center"/>
        <w:rPr>
          <w:rFonts w:ascii="Times New Roman" w:hAnsi="Times New Roman" w:cs="Times New Roman"/>
          <w:sz w:val="84"/>
          <w:szCs w:val="84"/>
        </w:rPr>
      </w:pPr>
    </w:p>
    <w:p w14:paraId="4E7D56F1">
      <w:pPr>
        <w:pStyle w:val="13"/>
        <w:jc w:val="center"/>
        <w:rPr>
          <w:rFonts w:ascii="Times New Roman" w:hAnsi="Times New Roman" w:eastAsia="方正小标宋简体" w:cs="Times New Roman"/>
          <w:sz w:val="72"/>
          <w:szCs w:val="72"/>
        </w:rPr>
      </w:pPr>
      <w:bookmarkStart w:id="3" w:name="_GoBack"/>
      <w:r>
        <w:rPr>
          <w:rFonts w:ascii="Times New Roman" w:hAnsi="Times New Roman" w:eastAsia="方正小标宋简体" w:cs="Times New Roman"/>
          <w:sz w:val="72"/>
          <w:szCs w:val="72"/>
        </w:rPr>
        <w:t>2024年度</w:t>
      </w:r>
    </w:p>
    <w:p w14:paraId="32EDD1E6">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怀化市医疗保障局</w:t>
      </w:r>
      <w:r>
        <w:rPr>
          <w:rFonts w:ascii="Times New Roman" w:hAnsi="Times New Roman" w:eastAsia="方正小标宋简体" w:cs="Times New Roman"/>
          <w:sz w:val="72"/>
          <w:szCs w:val="72"/>
        </w:rPr>
        <w:t>部门决算</w:t>
      </w:r>
    </w:p>
    <w:bookmarkEnd w:id="3"/>
    <w:p w14:paraId="5FE70B59">
      <w:pPr>
        <w:pStyle w:val="13"/>
        <w:jc w:val="center"/>
        <w:rPr>
          <w:rFonts w:ascii="Times New Roman" w:hAnsi="Times New Roman" w:eastAsia="方正小标宋_GBK" w:cs="Times New Roman"/>
          <w:sz w:val="56"/>
          <w:szCs w:val="56"/>
        </w:rPr>
      </w:pPr>
    </w:p>
    <w:p w14:paraId="25D15D3C">
      <w:pPr>
        <w:pStyle w:val="13"/>
        <w:jc w:val="center"/>
        <w:rPr>
          <w:rFonts w:ascii="Times New Roman" w:hAnsi="Times New Roman" w:cs="Times New Roman"/>
          <w:sz w:val="56"/>
          <w:szCs w:val="56"/>
        </w:rPr>
      </w:pPr>
    </w:p>
    <w:p w14:paraId="1D4DC31F">
      <w:pPr>
        <w:pStyle w:val="13"/>
        <w:rPr>
          <w:rFonts w:ascii="Times New Roman" w:hAnsi="Times New Roman" w:cs="Times New Roman"/>
          <w:sz w:val="56"/>
          <w:szCs w:val="56"/>
        </w:rPr>
      </w:pPr>
    </w:p>
    <w:p w14:paraId="195D49B3">
      <w:pPr>
        <w:pStyle w:val="13"/>
        <w:jc w:val="center"/>
        <w:rPr>
          <w:rFonts w:ascii="Times New Roman" w:hAnsi="Times New Roman" w:cs="Times New Roman"/>
          <w:sz w:val="32"/>
          <w:szCs w:val="32"/>
        </w:rPr>
      </w:pPr>
    </w:p>
    <w:p w14:paraId="49C5BC50">
      <w:pPr>
        <w:pStyle w:val="13"/>
        <w:jc w:val="center"/>
        <w:rPr>
          <w:rFonts w:ascii="Times New Roman" w:hAnsi="Times New Roman" w:cs="Times New Roman"/>
          <w:sz w:val="32"/>
          <w:szCs w:val="32"/>
        </w:rPr>
      </w:pPr>
    </w:p>
    <w:p w14:paraId="32B36017">
      <w:pPr>
        <w:pStyle w:val="13"/>
        <w:jc w:val="center"/>
        <w:rPr>
          <w:rFonts w:ascii="Times New Roman" w:hAnsi="Times New Roman" w:cs="Times New Roman"/>
          <w:sz w:val="32"/>
          <w:szCs w:val="32"/>
        </w:rPr>
      </w:pPr>
    </w:p>
    <w:p w14:paraId="24B42DCB">
      <w:pPr>
        <w:pStyle w:val="13"/>
        <w:jc w:val="center"/>
        <w:rPr>
          <w:rFonts w:ascii="Times New Roman" w:hAnsi="Times New Roman" w:cs="Times New Roman"/>
          <w:sz w:val="32"/>
          <w:szCs w:val="32"/>
        </w:rPr>
      </w:pPr>
    </w:p>
    <w:p w14:paraId="3D19D9D8">
      <w:pPr>
        <w:pStyle w:val="13"/>
        <w:jc w:val="center"/>
        <w:rPr>
          <w:rFonts w:ascii="Times New Roman" w:hAnsi="Times New Roman" w:cs="Times New Roman"/>
          <w:sz w:val="32"/>
          <w:szCs w:val="32"/>
        </w:rPr>
      </w:pPr>
    </w:p>
    <w:p w14:paraId="345C0A2A">
      <w:pPr>
        <w:pStyle w:val="13"/>
        <w:jc w:val="center"/>
        <w:rPr>
          <w:rFonts w:ascii="Times New Roman" w:hAnsi="Times New Roman" w:cs="Times New Roman"/>
          <w:sz w:val="32"/>
          <w:szCs w:val="32"/>
        </w:rPr>
      </w:pPr>
    </w:p>
    <w:p w14:paraId="130804EC">
      <w:pPr>
        <w:pStyle w:val="13"/>
        <w:spacing w:line="540" w:lineRule="exact"/>
        <w:jc w:val="center"/>
        <w:rPr>
          <w:rFonts w:ascii="Times New Roman" w:hAnsi="Times New Roman" w:cs="Times New Roman"/>
          <w:sz w:val="56"/>
          <w:szCs w:val="56"/>
        </w:rPr>
      </w:pPr>
    </w:p>
    <w:p w14:paraId="10F32F52">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051866E6">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25448F9">
      <w:pPr>
        <w:pStyle w:val="13"/>
        <w:spacing w:line="600" w:lineRule="exact"/>
        <w:jc w:val="both"/>
        <w:rPr>
          <w:rFonts w:ascii="Times New Roman" w:hAnsi="Times New Roman" w:cs="Times New Roman"/>
          <w:b/>
          <w:sz w:val="36"/>
          <w:szCs w:val="28"/>
        </w:rPr>
      </w:pPr>
    </w:p>
    <w:p w14:paraId="25AE2B12">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6247BDD">
      <w:pPr>
        <w:pStyle w:val="13"/>
        <w:spacing w:line="600" w:lineRule="exact"/>
        <w:jc w:val="center"/>
        <w:rPr>
          <w:rFonts w:ascii="Times New Roman" w:hAnsi="Times New Roman" w:cs="Times New Roman"/>
          <w:b/>
          <w:sz w:val="36"/>
          <w:szCs w:val="28"/>
        </w:rPr>
      </w:pPr>
    </w:p>
    <w:p w14:paraId="1E4D1C72">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怀化市医疗保障局</w:t>
      </w:r>
      <w:r>
        <w:rPr>
          <w:rFonts w:ascii="Times New Roman" w:hAnsi="Times New Roman" w:cs="Times New Roman"/>
          <w:bCs/>
          <w:sz w:val="32"/>
          <w:szCs w:val="32"/>
        </w:rPr>
        <w:t>概况</w:t>
      </w:r>
    </w:p>
    <w:p w14:paraId="37E938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A21CA93">
      <w:pPr>
        <w:pStyle w:val="13"/>
        <w:spacing w:line="600" w:lineRule="exact"/>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二、机构设置及</w:t>
      </w:r>
      <w:r>
        <w:rPr>
          <w:rFonts w:ascii="Times New Roman" w:hAnsi="Times New Roman" w:eastAsia="仿宋_GB2312" w:cs="Times New Roman"/>
          <w:sz w:val="32"/>
          <w:szCs w:val="32"/>
          <w:highlight w:val="none"/>
        </w:rPr>
        <w:t>决算单位构成</w:t>
      </w:r>
    </w:p>
    <w:p w14:paraId="22D2B84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59E73E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E7612B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2C0283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ACD46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3AC95A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E47A64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1FC416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07496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8B2B86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A7A809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52013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ECB3A5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B0A9AB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CA457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A55A01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C63249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CC428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AF91A9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5B87C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C4FD04A">
      <w:pPr>
        <w:pStyle w:val="13"/>
        <w:keepNext w:val="0"/>
        <w:keepLines w:val="0"/>
        <w:pageBreakBefore w:val="0"/>
        <w:widowControl w:val="0"/>
        <w:numPr>
          <w:ilvl w:val="0"/>
          <w:numId w:val="0"/>
        </w:numPr>
        <w:kinsoku/>
        <w:wordWrap/>
        <w:overflowPunct/>
        <w:topLinePunct w:val="0"/>
        <w:autoSpaceDE/>
        <w:autoSpaceDN/>
        <w:bidi w:val="0"/>
        <w:snapToGrid/>
        <w:spacing w:afterAutospacing="0" w:line="620" w:lineRule="exact"/>
        <w:jc w:val="both"/>
        <w:textAlignment w:val="auto"/>
        <w:rPr>
          <w:rFonts w:hint="eastAsia" w:ascii="仿宋_GB2312" w:hAnsi="仿宋_GB2312" w:eastAsia="仿宋_GB2312" w:cs="仿宋_GB2312"/>
          <w:b w:val="0"/>
          <w:bCs/>
          <w:spacing w:val="0"/>
          <w:sz w:val="32"/>
          <w:szCs w:val="32"/>
        </w:rPr>
      </w:pPr>
      <w:r>
        <w:rPr>
          <w:rFonts w:hint="eastAsia" w:ascii="仿宋_GB2312" w:hAnsi="仿宋_GB2312" w:eastAsia="仿宋_GB2312" w:cs="仿宋_GB2312"/>
          <w:b w:val="0"/>
          <w:bCs/>
          <w:spacing w:val="0"/>
          <w:sz w:val="32"/>
          <w:szCs w:val="32"/>
          <w:lang w:val="en-US" w:eastAsia="zh-CN"/>
        </w:rPr>
        <w:t>九、</w:t>
      </w:r>
      <w:r>
        <w:rPr>
          <w:rFonts w:hint="eastAsia" w:ascii="仿宋_GB2312" w:hAnsi="仿宋_GB2312" w:eastAsia="仿宋_GB2312" w:cs="仿宋_GB2312"/>
          <w:b w:val="0"/>
          <w:bCs/>
          <w:spacing w:val="0"/>
          <w:sz w:val="32"/>
          <w:szCs w:val="32"/>
        </w:rPr>
        <w:t>国有资本经营预算收入支出决算情况说明</w:t>
      </w:r>
    </w:p>
    <w:p w14:paraId="39BE0643">
      <w:pPr>
        <w:autoSpaceDE w:val="0"/>
        <w:autoSpaceDN w:val="0"/>
        <w:adjustRightInd w:val="0"/>
        <w:spacing w:line="600" w:lineRule="exact"/>
        <w:jc w:val="left"/>
        <w:rPr>
          <w:rFonts w:hint="eastAsia" w:ascii="仿宋_GB2312" w:hAnsi="仿宋_GB2312" w:eastAsia="仿宋_GB2312" w:cs="仿宋_GB2312"/>
          <w:b w:val="0"/>
          <w:bCs/>
          <w:spacing w:val="0"/>
          <w:sz w:val="32"/>
          <w:szCs w:val="32"/>
          <w:lang w:eastAsia="zh-CN"/>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w:t>
      </w:r>
      <w:r>
        <w:rPr>
          <w:rFonts w:hint="eastAsia" w:ascii="Times New Roman" w:hAnsi="Times New Roman" w:eastAsia="仿宋_GB2312" w:cs="Times New Roman"/>
          <w:color w:val="000000"/>
          <w:kern w:val="0"/>
          <w:sz w:val="32"/>
          <w:szCs w:val="32"/>
          <w:lang w:eastAsia="zh-CN"/>
        </w:rPr>
        <w:t>明</w:t>
      </w:r>
    </w:p>
    <w:p w14:paraId="6AD06A4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3B1B8FC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092F4E0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5A18FB3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1B8002F">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C8568D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32FC970">
      <w:pPr>
        <w:pStyle w:val="13"/>
        <w:spacing w:line="600" w:lineRule="exact"/>
        <w:rPr>
          <w:rFonts w:ascii="Times New Roman" w:hAnsi="Times New Roman" w:cs="Times New Roman"/>
          <w:bCs/>
          <w:sz w:val="28"/>
          <w:szCs w:val="28"/>
        </w:rPr>
      </w:pPr>
    </w:p>
    <w:p w14:paraId="22DAE88B">
      <w:pPr>
        <w:jc w:val="center"/>
        <w:rPr>
          <w:rFonts w:ascii="Times New Roman" w:hAnsi="Times New Roman" w:cs="Times New Roman"/>
          <w:sz w:val="72"/>
          <w:szCs w:val="72"/>
        </w:rPr>
      </w:pPr>
    </w:p>
    <w:p w14:paraId="2DC8FD1D">
      <w:pPr>
        <w:jc w:val="center"/>
        <w:rPr>
          <w:rFonts w:ascii="Times New Roman" w:hAnsi="Times New Roman" w:cs="Times New Roman"/>
          <w:sz w:val="72"/>
          <w:szCs w:val="72"/>
        </w:rPr>
      </w:pPr>
    </w:p>
    <w:p w14:paraId="13AA7479">
      <w:pPr>
        <w:jc w:val="center"/>
        <w:rPr>
          <w:rFonts w:ascii="Times New Roman" w:hAnsi="Times New Roman" w:cs="Times New Roman"/>
          <w:sz w:val="72"/>
          <w:szCs w:val="72"/>
        </w:rPr>
      </w:pPr>
    </w:p>
    <w:p w14:paraId="2F3404C6">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2192096">
      <w:pPr>
        <w:rPr>
          <w:rFonts w:ascii="Times New Roman" w:hAnsi="Times New Roman" w:eastAsia="方正小标宋_GBK" w:cs="Times New Roman"/>
          <w:sz w:val="72"/>
          <w:szCs w:val="72"/>
        </w:rPr>
      </w:pPr>
    </w:p>
    <w:p w14:paraId="3EE6B34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9F77292">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怀化市医疗保障局</w:t>
      </w:r>
      <w:r>
        <w:rPr>
          <w:rFonts w:ascii="Times New Roman" w:hAnsi="Times New Roman" w:eastAsia="方正小标宋_GBK" w:cs="Times New Roman"/>
          <w:sz w:val="52"/>
          <w:szCs w:val="52"/>
        </w:rPr>
        <w:t>概况</w:t>
      </w:r>
    </w:p>
    <w:p w14:paraId="2923BE51">
      <w:pPr>
        <w:pStyle w:val="3"/>
        <w:ind w:left="0" w:leftChars="0" w:firstLine="0" w:firstLineChars="0"/>
        <w:rPr>
          <w:rFonts w:ascii="Times New Roman" w:hAnsi="Times New Roman" w:cs="Times New Roman"/>
        </w:rPr>
      </w:pPr>
    </w:p>
    <w:p w14:paraId="3065EC26">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9F03BB7">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仿宋"/>
          <w:sz w:val="32"/>
          <w:szCs w:val="32"/>
        </w:rPr>
        <w:t>怀化市医疗保障局贯彻落实党中央关于医疗保障工作的方针政策和决策部署，全面落实省委、市委关于医疗保障工作的部署要求，在履行职责过程中坚持和加强党对医疗保障工作的集中统一领导。主要职责是：</w:t>
      </w:r>
    </w:p>
    <w:p w14:paraId="404AED9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（一）拟订全市医疗保险、生育保险、医疗救助等医疗保障制度的规范性文件、规划和标准，并组织实施。</w:t>
      </w:r>
    </w:p>
    <w:p w14:paraId="1701D6BE">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（二）组织制定并实施全市医疗保障基金监督管理办法，监督管理相关医疗保障基金，建立健全医疗保障基金安全防控机制，推进医疗保障基金支付方式改革。</w:t>
      </w:r>
    </w:p>
    <w:p w14:paraId="6A72AE1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（三）组织制定全市医疗保障筹资和待遇实施办法，完善动态调整和区域调剂平衡机制，统筹城乡医疗保障待遇标准，建立健全与筹资水平相适应的待遇调整机制，组织拟订并实施长期护理保险制度改革方案。</w:t>
      </w:r>
    </w:p>
    <w:p w14:paraId="00E6290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（四）组织制定全市城乡统一的药品、医用耗材、医疗服务项目、医疗服务设施等医保目录和支付标准，建立动态调整机制，制定医保目录准入谈判规则并组织实施。</w:t>
      </w:r>
    </w:p>
    <w:p w14:paraId="6FCFDC0D">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五）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64C3648F">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（六）制定全市药品、医用耗材的招标采购办法并监督实施，指导药品、医用耗材招标采购平台建设。</w:t>
      </w:r>
    </w:p>
    <w:p w14:paraId="35F70960">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（七）制定全市定点医药机构协议和支付管理办法并组织实施，建立健全医疗保障信用评价体系和信息披露制度，监督管理纳入医保范围内的医疗服务行为和医疗费用，依法查处医疗保障领域违法违规行为。</w:t>
      </w:r>
    </w:p>
    <w:p w14:paraId="1D84204E">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八）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5F9AF002">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（九）职能转变。市医保局</w:t>
      </w:r>
      <w:r>
        <w:rPr>
          <w:rFonts w:hint="eastAsia" w:ascii="Times New Roman" w:hAnsi="Times New Roman" w:eastAsia="仿宋_GB2312" w:cs="仿宋"/>
          <w:sz w:val="32"/>
          <w:szCs w:val="32"/>
          <w:lang w:eastAsia="zh-CN"/>
        </w:rPr>
        <w:t>已统</w:t>
      </w:r>
      <w:r>
        <w:rPr>
          <w:rFonts w:hint="eastAsia" w:ascii="Times New Roman" w:hAnsi="Times New Roman" w:eastAsia="仿宋_GB2312" w:cs="仿宋"/>
          <w:sz w:val="32"/>
          <w:szCs w:val="32"/>
        </w:rPr>
        <w:t>一城乡居民基本医疗保险制度和大病保险制度</w:t>
      </w:r>
      <w:r>
        <w:rPr>
          <w:rFonts w:hint="eastAsia" w:ascii="Times New Roman" w:hAnsi="Times New Roman" w:eastAsia="仿宋_GB2312" w:cs="仿宋"/>
          <w:sz w:val="32"/>
          <w:szCs w:val="32"/>
          <w:lang w:eastAsia="zh-CN"/>
        </w:rPr>
        <w:t>、</w:t>
      </w:r>
      <w:r>
        <w:rPr>
          <w:rFonts w:hint="eastAsia" w:ascii="Times New Roman" w:hAnsi="Times New Roman" w:eastAsia="仿宋_GB2312" w:cs="仿宋"/>
          <w:sz w:val="32"/>
          <w:szCs w:val="32"/>
        </w:rPr>
        <w:t>完善</w:t>
      </w:r>
      <w:r>
        <w:rPr>
          <w:rFonts w:hint="eastAsia" w:ascii="Times New Roman" w:hAnsi="Times New Roman" w:eastAsia="仿宋_GB2312" w:cs="仿宋"/>
          <w:sz w:val="32"/>
          <w:szCs w:val="32"/>
          <w:lang w:eastAsia="zh-CN"/>
        </w:rPr>
        <w:t>了</w:t>
      </w:r>
      <w:r>
        <w:rPr>
          <w:rFonts w:hint="eastAsia" w:ascii="Times New Roman" w:hAnsi="Times New Roman" w:eastAsia="仿宋_GB2312" w:cs="仿宋"/>
          <w:sz w:val="32"/>
          <w:szCs w:val="32"/>
        </w:rPr>
        <w:t>城乡居民医疗救助制度，</w:t>
      </w:r>
      <w:r>
        <w:rPr>
          <w:rFonts w:hint="eastAsia" w:ascii="Times New Roman" w:hAnsi="Times New Roman" w:eastAsia="仿宋_GB2312" w:cs="仿宋"/>
          <w:sz w:val="32"/>
          <w:szCs w:val="32"/>
          <w:lang w:eastAsia="zh-CN"/>
        </w:rPr>
        <w:t>已</w:t>
      </w:r>
      <w:r>
        <w:rPr>
          <w:rFonts w:hint="eastAsia" w:ascii="Times New Roman" w:hAnsi="Times New Roman" w:eastAsia="仿宋_GB2312" w:cs="仿宋"/>
          <w:sz w:val="32"/>
          <w:szCs w:val="32"/>
        </w:rPr>
        <w:t>建立健全覆盖全民、城乡统筹的多层次医疗保障体系，不断提高医疗保障水平，确保医保资金合理使用、安全可控，推进医疗、医保、医药“三医联动”改革，更好保障人民群众就医需求、减轻医药费用负担。</w:t>
      </w:r>
    </w:p>
    <w:p w14:paraId="1BE830F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（十）与市卫生健康委等部门在医疗、医保、医药等方面加强制度、政策衔接，建立沟通协商机制，协同推进改革，提高医疗资源使用效率和医疗保障水平。</w:t>
      </w:r>
    </w:p>
    <w:p w14:paraId="516B9965">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仿宋"/>
          <w:sz w:val="32"/>
          <w:szCs w:val="32"/>
        </w:rPr>
        <w:t>（十一）完成市委、市政府交办的其他任务。</w:t>
      </w:r>
    </w:p>
    <w:p w14:paraId="6BC6C269">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1BBA16C">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
          <w:sz w:val="32"/>
          <w:szCs w:val="32"/>
        </w:rPr>
        <w:t>怀化市医疗保障局作为一级部门预算单位，内设科室为：办公室、规划财务和法规科、待遇保障科、医药服务和定价采购科、基金监管科，基金核查和结算中心（医疗保障局设立的非独立核算正科级事业单位）。怀化市医疗保障事务中心作为二级部门预算单位，内设科室为：综合部、财务审核部、待遇保障服务部、异地结算和稽核事务部、医药招采事务部、协议管理和价格监测部。</w:t>
      </w:r>
    </w:p>
    <w:p w14:paraId="01CE6A88">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
          <w:sz w:val="32"/>
          <w:szCs w:val="32"/>
        </w:rPr>
        <w:t>本报告中纳入202</w:t>
      </w:r>
      <w:r>
        <w:rPr>
          <w:rFonts w:hint="eastAsia" w:ascii="Times New Roman" w:hAnsi="Times New Roman" w:eastAsia="仿宋_GB2312" w:cs="仿宋"/>
          <w:sz w:val="32"/>
          <w:szCs w:val="32"/>
          <w:lang w:val="en-US" w:eastAsia="zh-CN"/>
        </w:rPr>
        <w:t>4</w:t>
      </w:r>
      <w:r>
        <w:rPr>
          <w:rFonts w:hint="eastAsia" w:ascii="Times New Roman" w:hAnsi="Times New Roman" w:eastAsia="仿宋_GB2312" w:cs="仿宋"/>
          <w:sz w:val="32"/>
          <w:szCs w:val="32"/>
        </w:rPr>
        <w:t>年部门决算编制范围的只有怀化市医疗保障局本级。</w:t>
      </w:r>
    </w:p>
    <w:p w14:paraId="5EA44519">
      <w:pPr>
        <w:widowControl/>
        <w:spacing w:line="600" w:lineRule="exact"/>
        <w:rPr>
          <w:rFonts w:ascii="Times New Roman" w:hAnsi="Times New Roman" w:eastAsia="仿宋_GB2312" w:cs="Times New Roman"/>
          <w:bCs/>
          <w:kern w:val="0"/>
          <w:sz w:val="32"/>
          <w:szCs w:val="32"/>
        </w:rPr>
      </w:pPr>
    </w:p>
    <w:p w14:paraId="74490D5A">
      <w:pPr>
        <w:jc w:val="left"/>
        <w:rPr>
          <w:rFonts w:ascii="Times New Roman" w:hAnsi="Times New Roman" w:eastAsia="仿宋_GB2312" w:cs="Times New Roman"/>
          <w:sz w:val="28"/>
          <w:szCs w:val="32"/>
        </w:rPr>
      </w:pPr>
    </w:p>
    <w:p w14:paraId="718170E1">
      <w:pPr>
        <w:jc w:val="center"/>
        <w:rPr>
          <w:rFonts w:ascii="Times New Roman" w:hAnsi="Times New Roman" w:eastAsia="黑体" w:cs="Times New Roman"/>
          <w:sz w:val="28"/>
          <w:szCs w:val="28"/>
        </w:rPr>
      </w:pPr>
    </w:p>
    <w:p w14:paraId="290EC5C9">
      <w:pPr>
        <w:jc w:val="center"/>
        <w:rPr>
          <w:rFonts w:ascii="Times New Roman" w:hAnsi="Times New Roman" w:eastAsia="黑体" w:cs="Times New Roman"/>
          <w:sz w:val="28"/>
          <w:szCs w:val="28"/>
        </w:rPr>
      </w:pPr>
    </w:p>
    <w:p w14:paraId="7BF94027">
      <w:pPr>
        <w:jc w:val="center"/>
        <w:rPr>
          <w:rFonts w:ascii="Times New Roman" w:hAnsi="Times New Roman" w:eastAsia="黑体" w:cs="Times New Roman"/>
          <w:sz w:val="28"/>
          <w:szCs w:val="28"/>
        </w:rPr>
      </w:pPr>
    </w:p>
    <w:p w14:paraId="5AA2871D">
      <w:pPr>
        <w:jc w:val="center"/>
        <w:rPr>
          <w:rFonts w:ascii="Times New Roman" w:hAnsi="Times New Roman" w:eastAsia="黑体" w:cs="Times New Roman"/>
          <w:sz w:val="28"/>
          <w:szCs w:val="28"/>
        </w:rPr>
      </w:pPr>
    </w:p>
    <w:p w14:paraId="6C1447EE">
      <w:pPr>
        <w:jc w:val="center"/>
        <w:rPr>
          <w:rFonts w:ascii="Times New Roman" w:hAnsi="Times New Roman" w:eastAsia="黑体" w:cs="Times New Roman"/>
          <w:sz w:val="28"/>
          <w:szCs w:val="28"/>
        </w:rPr>
      </w:pPr>
    </w:p>
    <w:p w14:paraId="5EB73293">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A903B74">
      <w:pPr>
        <w:pStyle w:val="13"/>
        <w:numPr>
          <w:ilvl w:val="0"/>
          <w:numId w:val="0"/>
        </w:numPr>
        <w:jc w:val="both"/>
        <w:rPr>
          <w:rFonts w:ascii="Times New Roman" w:hAnsi="Times New Roman" w:eastAsia="方正小标宋_GBK" w:cs="Times New Roman"/>
          <w:sz w:val="52"/>
          <w:szCs w:val="52"/>
        </w:rPr>
      </w:pPr>
    </w:p>
    <w:p w14:paraId="76096409">
      <w:pPr>
        <w:pStyle w:val="13"/>
        <w:numPr>
          <w:ilvl w:val="0"/>
          <w:numId w:val="0"/>
        </w:numPr>
        <w:jc w:val="both"/>
        <w:rPr>
          <w:rFonts w:hint="default"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456617EC">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p>
    <w:p w14:paraId="4ABBA481">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p>
    <w:p w14:paraId="13D3A871">
      <w:pPr>
        <w:pStyle w:val="13"/>
        <w:widowControl w:val="0"/>
        <w:numPr>
          <w:ilvl w:val="0"/>
          <w:numId w:val="0"/>
        </w:numPr>
        <w:autoSpaceDE w:val="0"/>
        <w:autoSpaceDN w:val="0"/>
        <w:adjustRightInd w:val="0"/>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第二部分</w:t>
      </w:r>
    </w:p>
    <w:p w14:paraId="1C4B9E52">
      <w:pPr>
        <w:pStyle w:val="13"/>
        <w:numPr>
          <w:ilvl w:val="0"/>
          <w:numId w:val="0"/>
        </w:numPr>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5A5790">
      <w:pPr>
        <w:pStyle w:val="13"/>
        <w:numPr>
          <w:ilvl w:val="0"/>
          <w:numId w:val="0"/>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235CAFD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191F23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63742A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4763F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7C5925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217BD5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7E6BC0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428236C">
      <w:pPr>
        <w:widowControl/>
        <w:spacing w:after="156" w:afterLines="50"/>
        <w:jc w:val="both"/>
        <w:textAlignment w:val="center"/>
        <w:rPr>
          <w:rFonts w:ascii="Times New Roman" w:hAnsi="Times New Roman" w:eastAsia="黑体" w:cs="Times New Roman"/>
          <w:color w:val="000000"/>
          <w:kern w:val="0"/>
          <w:sz w:val="36"/>
          <w:szCs w:val="36"/>
          <w:lang w:bidi="ar"/>
        </w:rPr>
      </w:pPr>
    </w:p>
    <w:p w14:paraId="4FF67CCF">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9A21DC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7832CC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745F64F">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ADE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7FB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17FA4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DA4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6D2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8CB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DA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F9D0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E0E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135A249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0AB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C28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41A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851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066A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654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0F236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5E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0B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B78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279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E1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059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0.15</w:t>
            </w:r>
          </w:p>
        </w:tc>
      </w:tr>
      <w:tr w14:paraId="23D6CE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F65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5D6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C37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C7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AE2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3256">
            <w:pPr>
              <w:jc w:val="right"/>
              <w:rPr>
                <w:rFonts w:ascii="Times New Roman" w:hAnsi="Times New Roman" w:eastAsia="仿宋_GB2312" w:cs="Times New Roman"/>
                <w:color w:val="000000"/>
                <w:sz w:val="22"/>
              </w:rPr>
            </w:pPr>
          </w:p>
        </w:tc>
      </w:tr>
      <w:tr w14:paraId="0287A76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D9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BAE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A4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CD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B2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5BF7">
            <w:pPr>
              <w:jc w:val="right"/>
              <w:rPr>
                <w:rFonts w:ascii="Times New Roman" w:hAnsi="Times New Roman" w:eastAsia="仿宋_GB2312" w:cs="Times New Roman"/>
                <w:color w:val="000000"/>
                <w:sz w:val="22"/>
              </w:rPr>
            </w:pPr>
          </w:p>
        </w:tc>
      </w:tr>
      <w:tr w14:paraId="71867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DDD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63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B5A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AF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A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9BB">
            <w:pPr>
              <w:jc w:val="right"/>
              <w:rPr>
                <w:rFonts w:ascii="Times New Roman" w:hAnsi="Times New Roman" w:eastAsia="仿宋_GB2312" w:cs="Times New Roman"/>
                <w:color w:val="000000"/>
                <w:sz w:val="22"/>
              </w:rPr>
            </w:pPr>
          </w:p>
        </w:tc>
      </w:tr>
      <w:tr w14:paraId="3B2676A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78D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5FA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E9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4DD5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07C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18EF">
            <w:pPr>
              <w:jc w:val="right"/>
              <w:rPr>
                <w:rFonts w:ascii="Times New Roman" w:hAnsi="Times New Roman" w:eastAsia="仿宋_GB2312" w:cs="Times New Roman"/>
                <w:color w:val="000000"/>
                <w:sz w:val="22"/>
              </w:rPr>
            </w:pPr>
          </w:p>
        </w:tc>
      </w:tr>
      <w:tr w14:paraId="7B14325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76CE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44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580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AFD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B50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B3F7">
            <w:pPr>
              <w:jc w:val="right"/>
              <w:rPr>
                <w:rFonts w:ascii="Times New Roman" w:hAnsi="Times New Roman" w:eastAsia="仿宋_GB2312" w:cs="Times New Roman"/>
                <w:color w:val="000000"/>
                <w:sz w:val="22"/>
              </w:rPr>
            </w:pPr>
          </w:p>
        </w:tc>
      </w:tr>
      <w:tr w14:paraId="4E3A09B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407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FB3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151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CF4D">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163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4D3E">
            <w:pPr>
              <w:jc w:val="right"/>
              <w:rPr>
                <w:rFonts w:ascii="Times New Roman" w:hAnsi="Times New Roman" w:eastAsia="仿宋_GB2312" w:cs="Times New Roman"/>
                <w:color w:val="000000"/>
                <w:sz w:val="22"/>
              </w:rPr>
            </w:pPr>
          </w:p>
        </w:tc>
      </w:tr>
      <w:tr w14:paraId="1B4BBE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081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BC1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F6A7">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8E09">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eastAsia="zh-CN"/>
              </w:rPr>
              <w:t>八、社保保障和就业支出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9BF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B5B">
            <w:pPr>
              <w:jc w:val="center"/>
              <w:rPr>
                <w:rFonts w:ascii="Times New Roman" w:hAnsi="Times New Roman" w:eastAsia="仿宋_GB2312" w:cs="Times New Roman"/>
                <w:color w:val="000000"/>
                <w:sz w:val="22"/>
              </w:rPr>
            </w:pPr>
          </w:p>
        </w:tc>
      </w:tr>
      <w:tr w14:paraId="127BDF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93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D2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CA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5554">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39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7796">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826.9</w:t>
            </w:r>
          </w:p>
        </w:tc>
      </w:tr>
      <w:tr w14:paraId="0362B11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3A5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F7F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A51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29F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9D0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0DB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r>
      <w:tr w14:paraId="395A02B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F8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46A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D37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E8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A56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A945">
            <w:pPr>
              <w:rPr>
                <w:rFonts w:ascii="Times New Roman" w:hAnsi="Times New Roman" w:eastAsia="仿宋_GB2312" w:cs="Times New Roman"/>
                <w:color w:val="000000"/>
                <w:sz w:val="22"/>
              </w:rPr>
            </w:pPr>
          </w:p>
        </w:tc>
      </w:tr>
      <w:tr w14:paraId="7A8EFE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A1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E83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047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059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82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FD7C">
            <w:pPr>
              <w:rPr>
                <w:rFonts w:ascii="Times New Roman" w:hAnsi="Times New Roman" w:eastAsia="仿宋_GB2312" w:cs="Times New Roman"/>
                <w:color w:val="000000"/>
                <w:sz w:val="22"/>
              </w:rPr>
            </w:pPr>
          </w:p>
        </w:tc>
      </w:tr>
      <w:tr w14:paraId="271170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CFC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A1D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9B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8B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4D4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F61E">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827.05</w:t>
            </w:r>
          </w:p>
        </w:tc>
      </w:tr>
    </w:tbl>
    <w:p w14:paraId="69311233">
      <w:pPr>
        <w:widowControl/>
        <w:jc w:val="left"/>
        <w:textAlignment w:val="center"/>
        <w:rPr>
          <w:rFonts w:ascii="Times New Roman" w:hAnsi="Times New Roman" w:eastAsia="宋体" w:cs="Times New Roman"/>
          <w:color w:val="000000"/>
          <w:kern w:val="0"/>
          <w:sz w:val="24"/>
          <w:szCs w:val="24"/>
          <w:lang w:bidi="ar"/>
        </w:rPr>
      </w:pPr>
    </w:p>
    <w:p w14:paraId="6574E62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52001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E451658">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25BF0D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E220E4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p w14:paraId="5F5F259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表</w:t>
      </w:r>
    </w:p>
    <w:p w14:paraId="504E1D5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666" w:type="dxa"/>
        <w:jc w:val="center"/>
        <w:tblLayout w:type="fixed"/>
        <w:tblCellMar>
          <w:top w:w="0" w:type="dxa"/>
          <w:left w:w="0" w:type="dxa"/>
          <w:bottom w:w="0" w:type="dxa"/>
          <w:right w:w="0" w:type="dxa"/>
        </w:tblCellMar>
      </w:tblPr>
      <w:tblGrid>
        <w:gridCol w:w="883"/>
        <w:gridCol w:w="2959"/>
        <w:gridCol w:w="984"/>
        <w:gridCol w:w="1640"/>
        <w:gridCol w:w="1640"/>
        <w:gridCol w:w="1640"/>
        <w:gridCol w:w="1640"/>
        <w:gridCol w:w="1897"/>
        <w:gridCol w:w="1383"/>
      </w:tblGrid>
      <w:tr w14:paraId="37C7B268">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6D1E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112F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3DA1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E465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983E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05CB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58AAB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A668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E86401A">
        <w:tblPrEx>
          <w:tblCellMar>
            <w:top w:w="0" w:type="dxa"/>
            <w:left w:w="0" w:type="dxa"/>
            <w:bottom w:w="0" w:type="dxa"/>
            <w:right w:w="0" w:type="dxa"/>
          </w:tblCellMar>
        </w:tblPrEx>
        <w:trPr>
          <w:trHeight w:val="334" w:hRule="exact"/>
          <w:jc w:val="center"/>
        </w:trPr>
        <w:tc>
          <w:tcPr>
            <w:tcW w:w="8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E55D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95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9E6F1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740E310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9A7166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30F79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BF996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E5016E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4A1855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77DEF09">
            <w:pPr>
              <w:rPr>
                <w:rFonts w:ascii="Times New Roman" w:hAnsi="Times New Roman" w:eastAsia="仿宋_GB2312" w:cs="Times New Roman"/>
                <w:sz w:val="24"/>
                <w:szCs w:val="24"/>
              </w:rPr>
            </w:pPr>
          </w:p>
        </w:tc>
      </w:tr>
      <w:tr w14:paraId="3D7DD4D6">
        <w:tblPrEx>
          <w:tblCellMar>
            <w:top w:w="0" w:type="dxa"/>
            <w:left w:w="0" w:type="dxa"/>
            <w:bottom w:w="0" w:type="dxa"/>
            <w:right w:w="0" w:type="dxa"/>
          </w:tblCellMar>
        </w:tblPrEx>
        <w:trPr>
          <w:trHeight w:val="31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14:paraId="11C19B5F">
            <w:pPr>
              <w:rPr>
                <w:rFonts w:ascii="Times New Roman" w:hAnsi="Times New Roman" w:eastAsia="仿宋_GB2312" w:cs="Times New Roman"/>
                <w:sz w:val="24"/>
                <w:szCs w:val="24"/>
              </w:rPr>
            </w:pPr>
          </w:p>
        </w:tc>
        <w:tc>
          <w:tcPr>
            <w:tcW w:w="2959" w:type="dxa"/>
            <w:vMerge w:val="continue"/>
            <w:tcBorders>
              <w:top w:val="nil"/>
              <w:left w:val="single" w:color="auto" w:sz="4" w:space="0"/>
              <w:bottom w:val="single" w:color="auto" w:sz="4" w:space="0"/>
              <w:right w:val="single" w:color="auto" w:sz="4" w:space="0"/>
            </w:tcBorders>
            <w:vAlign w:val="center"/>
          </w:tcPr>
          <w:p w14:paraId="738C5E24">
            <w:pPr>
              <w:rPr>
                <w:rFonts w:ascii="Times New Roman" w:hAnsi="Times New Roman" w:eastAsia="仿宋_GB2312" w:cs="Times New Roman"/>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5743C0D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010B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0738C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3DBC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515E65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7ECE0AC">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9480614">
            <w:pPr>
              <w:rPr>
                <w:rFonts w:ascii="Times New Roman" w:hAnsi="Times New Roman" w:eastAsia="仿宋_GB2312" w:cs="Times New Roman"/>
                <w:sz w:val="24"/>
                <w:szCs w:val="24"/>
              </w:rPr>
            </w:pPr>
          </w:p>
        </w:tc>
      </w:tr>
      <w:tr w14:paraId="43A663AE">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C071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B48D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BDAE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6130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BE95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D68D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F8F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CBA4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FBACE8C">
        <w:tblPrEx>
          <w:tblCellMar>
            <w:top w:w="0" w:type="dxa"/>
            <w:left w:w="0" w:type="dxa"/>
            <w:bottom w:w="0" w:type="dxa"/>
            <w:right w:w="0" w:type="dxa"/>
          </w:tblCellMar>
        </w:tblPrEx>
        <w:trPr>
          <w:trHeight w:val="424"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65CE6">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556C2">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75B05">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B76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65C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D3F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CC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622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CFFBA25">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7B230">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06DDB">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3E88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090BB">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E34A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FB81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D1C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804E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A0C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57774E8">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AA30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B91A3">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4B9">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B50F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FEE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BF1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6AD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F8E5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B3F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5AF9836">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7E83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43B5B">
            <w:pPr>
              <w:rPr>
                <w:rFonts w:hint="default"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5074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76924">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D96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483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01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875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40C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19E4C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8613F">
            <w:pPr>
              <w:jc w:val="both"/>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FA845">
            <w:pP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卫生健康支出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7FDFA">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F76B">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8615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6A3A">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503D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7A4A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DD1A6">
            <w:pPr>
              <w:jc w:val="right"/>
              <w:rPr>
                <w:rFonts w:ascii="Times New Roman" w:hAnsi="Times New Roman" w:eastAsia="仿宋_GB2312" w:cs="Times New Roman"/>
              </w:rPr>
            </w:pPr>
          </w:p>
        </w:tc>
      </w:tr>
      <w:tr w14:paraId="63F2128F">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FDAB">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CA937">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9C2BA">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25431">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6B7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63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832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D57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043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985FE8E">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804EA">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2101505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0B34F">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医疗保障政策管理</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6F080">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136.01</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F6D0">
            <w:pPr>
              <w:jc w:val="right"/>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136.01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2B3D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F56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E12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84B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B20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E07EF7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5F79C">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68CE3">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其他医疗保障管理事务支出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781DD">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847E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AC2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D2F4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C56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3FC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0C5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75BEA11B">
      <w:pPr>
        <w:spacing w:before="120"/>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注：本表反映部门本年度取得的各项收入情况。</w:t>
      </w:r>
    </w:p>
    <w:p w14:paraId="792C6EC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34E23E7">
      <w:pPr>
        <w:widowControl/>
        <w:jc w:val="center"/>
        <w:textAlignment w:val="center"/>
        <w:rPr>
          <w:rFonts w:ascii="Times New Roman" w:hAnsi="Times New Roman" w:eastAsia="黑体" w:cs="Times New Roman"/>
          <w:color w:val="000000"/>
          <w:kern w:val="0"/>
          <w:sz w:val="32"/>
          <w:szCs w:val="32"/>
          <w:lang w:bidi="ar"/>
        </w:rPr>
      </w:pPr>
    </w:p>
    <w:p w14:paraId="3D08684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支出决算表</w:t>
      </w:r>
    </w:p>
    <w:p w14:paraId="0D5A233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3</w:t>
      </w:r>
      <w:r>
        <w:rPr>
          <w:rFonts w:ascii="Times New Roman" w:hAnsi="Times New Roman" w:eastAsia="仿宋_GB2312" w:cs="Times New Roman"/>
          <w:color w:val="000000"/>
          <w:kern w:val="0"/>
          <w:sz w:val="20"/>
          <w:szCs w:val="20"/>
          <w:lang w:bidi="ar"/>
        </w:rPr>
        <w:t>表</w:t>
      </w:r>
    </w:p>
    <w:p w14:paraId="7E880B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6" w:type="pct"/>
        <w:jc w:val="center"/>
        <w:tblLayout w:type="fixed"/>
        <w:tblCellMar>
          <w:top w:w="0" w:type="dxa"/>
          <w:left w:w="108" w:type="dxa"/>
          <w:bottom w:w="0" w:type="dxa"/>
          <w:right w:w="108" w:type="dxa"/>
        </w:tblCellMar>
      </w:tblPr>
      <w:tblGrid>
        <w:gridCol w:w="1051"/>
        <w:gridCol w:w="3109"/>
        <w:gridCol w:w="1480"/>
        <w:gridCol w:w="1334"/>
        <w:gridCol w:w="1331"/>
        <w:gridCol w:w="1874"/>
        <w:gridCol w:w="1331"/>
        <w:gridCol w:w="2699"/>
      </w:tblGrid>
      <w:tr w14:paraId="2B1D87FC">
        <w:tblPrEx>
          <w:tblCellMar>
            <w:top w:w="0" w:type="dxa"/>
            <w:left w:w="108" w:type="dxa"/>
            <w:bottom w:w="0" w:type="dxa"/>
            <w:right w:w="108" w:type="dxa"/>
          </w:tblCellMar>
        </w:tblPrEx>
        <w:trPr>
          <w:trHeight w:val="572"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BE0B9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84F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8900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201C3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0CDF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CC00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D9A76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39A1F0A">
        <w:tblPrEx>
          <w:tblCellMar>
            <w:top w:w="0" w:type="dxa"/>
            <w:left w:w="108" w:type="dxa"/>
            <w:bottom w:w="0" w:type="dxa"/>
            <w:right w:w="108" w:type="dxa"/>
          </w:tblCellMar>
        </w:tblPrEx>
        <w:trPr>
          <w:trHeight w:val="312" w:hRule="exac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D1E1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1"/>
                <w:szCs w:val="21"/>
              </w:rPr>
              <w:t>功能分类科目编码</w:t>
            </w:r>
          </w:p>
        </w:tc>
        <w:tc>
          <w:tcPr>
            <w:tcW w:w="1094" w:type="pct"/>
            <w:vMerge w:val="restart"/>
            <w:tcBorders>
              <w:top w:val="nil"/>
              <w:left w:val="single" w:color="auto" w:sz="4" w:space="0"/>
              <w:bottom w:val="single" w:color="auto" w:sz="4" w:space="0"/>
              <w:right w:val="single" w:color="auto" w:sz="4" w:space="0"/>
            </w:tcBorders>
            <w:shd w:val="clear" w:color="000000" w:fill="FFFFFF"/>
            <w:vAlign w:val="center"/>
          </w:tcPr>
          <w:p w14:paraId="2A0AE9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12CD6C1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2FA64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356B6240">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CA2C35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05BE13B1">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8E9E5D9">
            <w:pPr>
              <w:widowControl/>
              <w:jc w:val="left"/>
              <w:rPr>
                <w:rFonts w:ascii="Times New Roman" w:hAnsi="Times New Roman" w:eastAsia="仿宋_GB2312" w:cs="Times New Roman"/>
                <w:b/>
                <w:bCs/>
                <w:kern w:val="0"/>
                <w:sz w:val="24"/>
                <w:szCs w:val="24"/>
              </w:rPr>
            </w:pPr>
          </w:p>
        </w:tc>
      </w:tr>
      <w:tr w14:paraId="44988229">
        <w:tblPrEx>
          <w:tblCellMar>
            <w:top w:w="0" w:type="dxa"/>
            <w:left w:w="108" w:type="dxa"/>
            <w:bottom w:w="0" w:type="dxa"/>
            <w:right w:w="108" w:type="dxa"/>
          </w:tblCellMar>
        </w:tblPrEx>
        <w:trPr>
          <w:trHeight w:val="595" w:hRule="atLeast"/>
          <w:jc w:val="center"/>
        </w:trPr>
        <w:tc>
          <w:tcPr>
            <w:tcW w:w="369" w:type="pct"/>
            <w:vMerge w:val="continue"/>
            <w:tcBorders>
              <w:top w:val="single" w:color="auto" w:sz="4" w:space="0"/>
              <w:left w:val="single" w:color="auto" w:sz="4" w:space="0"/>
              <w:bottom w:val="single" w:color="auto" w:sz="4" w:space="0"/>
              <w:right w:val="single" w:color="auto" w:sz="4" w:space="0"/>
            </w:tcBorders>
            <w:vAlign w:val="center"/>
          </w:tcPr>
          <w:p w14:paraId="4B96EE01">
            <w:pPr>
              <w:widowControl/>
              <w:jc w:val="left"/>
              <w:rPr>
                <w:rFonts w:ascii="Times New Roman" w:hAnsi="Times New Roman" w:eastAsia="仿宋_GB2312" w:cs="Times New Roman"/>
                <w:kern w:val="0"/>
                <w:sz w:val="24"/>
                <w:szCs w:val="24"/>
              </w:rPr>
            </w:pPr>
          </w:p>
        </w:tc>
        <w:tc>
          <w:tcPr>
            <w:tcW w:w="1094" w:type="pct"/>
            <w:vMerge w:val="continue"/>
            <w:tcBorders>
              <w:top w:val="nil"/>
              <w:left w:val="single" w:color="auto" w:sz="4" w:space="0"/>
              <w:bottom w:val="single" w:color="auto" w:sz="4" w:space="0"/>
              <w:right w:val="single" w:color="auto" w:sz="4" w:space="0"/>
            </w:tcBorders>
            <w:vAlign w:val="center"/>
          </w:tcPr>
          <w:p w14:paraId="678FEDF7">
            <w:pPr>
              <w:widowControl/>
              <w:jc w:val="left"/>
              <w:rPr>
                <w:rFonts w:ascii="Times New Roman" w:hAnsi="Times New Roman" w:eastAsia="仿宋_GB2312" w:cs="Times New Roman"/>
                <w:kern w:val="0"/>
                <w:sz w:val="24"/>
                <w:szCs w:val="24"/>
              </w:rPr>
            </w:pP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5A16E9E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3AF1379">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199A637D">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615B62E1">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679E1F32">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5CD2565">
            <w:pPr>
              <w:widowControl/>
              <w:jc w:val="left"/>
              <w:rPr>
                <w:rFonts w:ascii="Times New Roman" w:hAnsi="Times New Roman" w:eastAsia="仿宋_GB2312" w:cs="Times New Roman"/>
                <w:kern w:val="0"/>
                <w:sz w:val="24"/>
                <w:szCs w:val="24"/>
              </w:rPr>
            </w:pPr>
          </w:p>
        </w:tc>
      </w:tr>
      <w:tr w14:paraId="7815754B">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CA0F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20" w:type="pct"/>
            <w:tcBorders>
              <w:top w:val="nil"/>
              <w:left w:val="nil"/>
              <w:bottom w:val="single" w:color="auto" w:sz="4" w:space="0"/>
              <w:right w:val="single" w:color="auto" w:sz="4" w:space="0"/>
            </w:tcBorders>
            <w:shd w:val="clear" w:color="000000" w:fill="FFFFFF"/>
            <w:noWrap/>
            <w:vAlign w:val="center"/>
          </w:tcPr>
          <w:p w14:paraId="04DB4C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846B9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3E59168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F6581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8" w:type="pct"/>
            <w:tcBorders>
              <w:top w:val="nil"/>
              <w:left w:val="nil"/>
              <w:bottom w:val="single" w:color="auto" w:sz="4" w:space="0"/>
              <w:right w:val="single" w:color="auto" w:sz="4" w:space="0"/>
            </w:tcBorders>
            <w:shd w:val="clear" w:color="000000" w:fill="FFFFFF"/>
            <w:noWrap/>
            <w:vAlign w:val="center"/>
          </w:tcPr>
          <w:p w14:paraId="6D6A83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45B50D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0F93EE2">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6C6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20" w:type="pct"/>
            <w:tcBorders>
              <w:top w:val="nil"/>
              <w:left w:val="nil"/>
              <w:bottom w:val="single" w:color="auto" w:sz="4" w:space="0"/>
              <w:right w:val="single" w:color="auto" w:sz="4" w:space="0"/>
            </w:tcBorders>
            <w:shd w:val="clear" w:color="auto" w:fill="auto"/>
            <w:noWrap/>
            <w:vAlign w:val="center"/>
          </w:tcPr>
          <w:p w14:paraId="2F595C5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827.05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65AF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606AF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501.77</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2CE05C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C5F25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41EA1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7381E49">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3168C6">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1094" w:type="pct"/>
            <w:tcBorders>
              <w:top w:val="nil"/>
              <w:left w:val="nil"/>
              <w:bottom w:val="single" w:color="auto" w:sz="4" w:space="0"/>
              <w:right w:val="single" w:color="auto" w:sz="4" w:space="0"/>
            </w:tcBorders>
            <w:shd w:val="clear" w:color="000000" w:fill="FFFFFF"/>
            <w:noWrap/>
            <w:vAlign w:val="center"/>
          </w:tcPr>
          <w:p w14:paraId="6CE63EB8">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03EF1C4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9C2F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91DA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F685F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56CD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06BF4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D2A9C35">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AF68F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w:t>
            </w:r>
          </w:p>
        </w:tc>
        <w:tc>
          <w:tcPr>
            <w:tcW w:w="1094" w:type="pct"/>
            <w:tcBorders>
              <w:top w:val="nil"/>
              <w:left w:val="nil"/>
              <w:bottom w:val="single" w:color="auto" w:sz="4" w:space="0"/>
              <w:right w:val="single" w:color="auto" w:sz="4" w:space="0"/>
            </w:tcBorders>
            <w:shd w:val="clear" w:color="000000" w:fill="FFFFFF"/>
            <w:noWrap/>
            <w:vAlign w:val="center"/>
          </w:tcPr>
          <w:p w14:paraId="1D0C142C">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62A7C08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E86F0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06CF411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4DBD0F7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69F419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F2CDC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79BC581">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C2C47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2019999</w:t>
            </w:r>
          </w:p>
        </w:tc>
        <w:tc>
          <w:tcPr>
            <w:tcW w:w="1094" w:type="pct"/>
            <w:tcBorders>
              <w:top w:val="nil"/>
              <w:left w:val="nil"/>
              <w:bottom w:val="single" w:color="auto" w:sz="4" w:space="0"/>
              <w:right w:val="single" w:color="auto" w:sz="4" w:space="0"/>
            </w:tcBorders>
            <w:shd w:val="clear" w:color="000000" w:fill="FFFFFF"/>
            <w:noWrap/>
            <w:vAlign w:val="center"/>
          </w:tcPr>
          <w:p w14:paraId="5CC05576">
            <w:pPr>
              <w:rPr>
                <w:rFonts w:ascii="Times New Roman" w:hAnsi="Times New Roman" w:eastAsia="仿宋_GB2312" w:cs="Times New Roman"/>
                <w:kern w:val="0"/>
                <w:sz w:val="24"/>
                <w:szCs w:val="24"/>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77B270E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A9ECC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BA042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D401F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10CE4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75BC8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DEDF32">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BC41B6">
            <w:pPr>
              <w:jc w:val="both"/>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210</w:t>
            </w:r>
          </w:p>
        </w:tc>
        <w:tc>
          <w:tcPr>
            <w:tcW w:w="1094" w:type="pct"/>
            <w:tcBorders>
              <w:top w:val="nil"/>
              <w:left w:val="nil"/>
              <w:bottom w:val="single" w:color="auto" w:sz="4" w:space="0"/>
              <w:right w:val="single" w:color="auto" w:sz="4" w:space="0"/>
            </w:tcBorders>
            <w:shd w:val="clear" w:color="000000" w:fill="FFFFFF"/>
            <w:noWrap/>
            <w:vAlign w:val="center"/>
          </w:tcPr>
          <w:p w14:paraId="737908E0">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卫生健康支出</w:t>
            </w:r>
          </w:p>
        </w:tc>
        <w:tc>
          <w:tcPr>
            <w:tcW w:w="520" w:type="pct"/>
            <w:tcBorders>
              <w:top w:val="nil"/>
              <w:left w:val="nil"/>
              <w:bottom w:val="single" w:color="auto" w:sz="4" w:space="0"/>
              <w:right w:val="single" w:color="auto" w:sz="4" w:space="0"/>
            </w:tcBorders>
            <w:shd w:val="clear" w:color="auto" w:fill="auto"/>
            <w:noWrap/>
            <w:vAlign w:val="center"/>
          </w:tcPr>
          <w:p w14:paraId="05ACAED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19D42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FD510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C9D58A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828CF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1EE0D9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813CCF">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B649B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w:t>
            </w:r>
          </w:p>
        </w:tc>
        <w:tc>
          <w:tcPr>
            <w:tcW w:w="1094" w:type="pct"/>
            <w:tcBorders>
              <w:top w:val="nil"/>
              <w:left w:val="nil"/>
              <w:bottom w:val="single" w:color="auto" w:sz="4" w:space="0"/>
              <w:right w:val="single" w:color="auto" w:sz="4" w:space="0"/>
            </w:tcBorders>
            <w:shd w:val="clear" w:color="000000" w:fill="FFFFFF"/>
            <w:noWrap/>
            <w:vAlign w:val="center"/>
          </w:tcPr>
          <w:p w14:paraId="44D8C137">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520" w:type="pct"/>
            <w:tcBorders>
              <w:top w:val="nil"/>
              <w:left w:val="nil"/>
              <w:bottom w:val="single" w:color="auto" w:sz="4" w:space="0"/>
              <w:right w:val="single" w:color="auto" w:sz="4" w:space="0"/>
            </w:tcBorders>
            <w:shd w:val="clear" w:color="auto" w:fill="auto"/>
            <w:noWrap/>
            <w:vAlign w:val="center"/>
          </w:tcPr>
          <w:p w14:paraId="7A317C2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9C98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850C36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63BE352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DBBB7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76E08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CBE578">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A6993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2101505</w:t>
            </w:r>
          </w:p>
        </w:tc>
        <w:tc>
          <w:tcPr>
            <w:tcW w:w="1094" w:type="pct"/>
            <w:tcBorders>
              <w:top w:val="nil"/>
              <w:left w:val="nil"/>
              <w:bottom w:val="single" w:color="auto" w:sz="4" w:space="0"/>
              <w:right w:val="single" w:color="auto" w:sz="4" w:space="0"/>
            </w:tcBorders>
            <w:shd w:val="clear" w:color="000000" w:fill="FFFFFF"/>
            <w:noWrap/>
            <w:vAlign w:val="center"/>
          </w:tcPr>
          <w:p w14:paraId="1E4B7F87">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医疗保障政策管理</w:t>
            </w:r>
          </w:p>
        </w:tc>
        <w:tc>
          <w:tcPr>
            <w:tcW w:w="520" w:type="pct"/>
            <w:tcBorders>
              <w:top w:val="nil"/>
              <w:left w:val="nil"/>
              <w:bottom w:val="single" w:color="auto" w:sz="4" w:space="0"/>
              <w:right w:val="single" w:color="auto" w:sz="4" w:space="0"/>
            </w:tcBorders>
            <w:shd w:val="clear" w:color="auto" w:fill="auto"/>
            <w:noWrap/>
            <w:vAlign w:val="center"/>
          </w:tcPr>
          <w:p w14:paraId="36B3D0A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469" w:type="pct"/>
            <w:tcBorders>
              <w:top w:val="nil"/>
              <w:left w:val="nil"/>
              <w:bottom w:val="single" w:color="auto" w:sz="4" w:space="0"/>
              <w:right w:val="single" w:color="auto" w:sz="4" w:space="0"/>
            </w:tcBorders>
            <w:shd w:val="clear" w:color="auto" w:fill="auto"/>
            <w:noWrap/>
            <w:vAlign w:val="center"/>
          </w:tcPr>
          <w:p w14:paraId="1F9573B6">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2B22C22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659" w:type="pct"/>
            <w:tcBorders>
              <w:top w:val="nil"/>
              <w:left w:val="nil"/>
              <w:bottom w:val="single" w:color="auto" w:sz="4" w:space="0"/>
              <w:right w:val="single" w:color="auto" w:sz="4" w:space="0"/>
            </w:tcBorders>
            <w:shd w:val="clear" w:color="auto" w:fill="auto"/>
            <w:noWrap/>
            <w:vAlign w:val="center"/>
          </w:tcPr>
          <w:p w14:paraId="1E57EE2B">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5E1B65A8">
            <w:pPr>
              <w:widowControl/>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5256E1AC">
            <w:pPr>
              <w:widowControl/>
              <w:jc w:val="right"/>
              <w:rPr>
                <w:rFonts w:ascii="Times New Roman" w:hAnsi="Times New Roman" w:eastAsia="仿宋_GB2312" w:cs="Times New Roman"/>
                <w:kern w:val="0"/>
                <w:sz w:val="24"/>
                <w:szCs w:val="24"/>
              </w:rPr>
            </w:pPr>
          </w:p>
        </w:tc>
      </w:tr>
      <w:tr w14:paraId="4F4FBD7B">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4B860B">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2101599</w:t>
            </w:r>
          </w:p>
        </w:tc>
        <w:tc>
          <w:tcPr>
            <w:tcW w:w="1094" w:type="pct"/>
            <w:tcBorders>
              <w:top w:val="nil"/>
              <w:left w:val="nil"/>
              <w:bottom w:val="single" w:color="auto" w:sz="4" w:space="0"/>
              <w:right w:val="single" w:color="auto" w:sz="4" w:space="0"/>
            </w:tcBorders>
            <w:shd w:val="clear" w:color="000000" w:fill="FFFFFF"/>
            <w:noWrap/>
            <w:vAlign w:val="center"/>
          </w:tcPr>
          <w:p w14:paraId="63F76EE0">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其他医疗保障管理事务支出</w:t>
            </w:r>
          </w:p>
        </w:tc>
        <w:tc>
          <w:tcPr>
            <w:tcW w:w="520" w:type="pct"/>
            <w:tcBorders>
              <w:top w:val="nil"/>
              <w:left w:val="nil"/>
              <w:bottom w:val="single" w:color="auto" w:sz="4" w:space="0"/>
              <w:right w:val="single" w:color="auto" w:sz="4" w:space="0"/>
            </w:tcBorders>
            <w:shd w:val="clear" w:color="auto" w:fill="auto"/>
            <w:noWrap/>
            <w:vAlign w:val="center"/>
          </w:tcPr>
          <w:p w14:paraId="3133B5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690.89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A13263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278E8F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365.61</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365A77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07400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3F4D14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48966A09">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1DBE722">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sz w:val="36"/>
          <w:szCs w:val="36"/>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r>
        <w:rPr>
          <w:rFonts w:ascii="Times New Roman" w:hAnsi="Times New Roman" w:eastAsia="仿宋_GB2312" w:cs="Times New Roman"/>
          <w:color w:val="000000"/>
          <w:kern w:val="0"/>
          <w:sz w:val="20"/>
          <w:szCs w:val="20"/>
        </w:rPr>
        <w:t xml:space="preserve">                                                                                                                </w:t>
      </w:r>
    </w:p>
    <w:p w14:paraId="4068724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4</w:t>
      </w:r>
      <w:r>
        <w:rPr>
          <w:rFonts w:ascii="Times New Roman" w:hAnsi="Times New Roman" w:eastAsia="仿宋_GB2312" w:cs="Times New Roman"/>
          <w:color w:val="000000"/>
          <w:kern w:val="0"/>
          <w:sz w:val="20"/>
          <w:szCs w:val="20"/>
          <w:lang w:bidi="ar"/>
        </w:rPr>
        <w:t>表</w:t>
      </w:r>
    </w:p>
    <w:p w14:paraId="1B7DBAC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3336"/>
        <w:gridCol w:w="616"/>
        <w:gridCol w:w="1041"/>
        <w:gridCol w:w="1488"/>
        <w:gridCol w:w="1348"/>
        <w:gridCol w:w="1438"/>
      </w:tblGrid>
      <w:tr w14:paraId="5A63F315">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FFF3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2BE2F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49EE61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5C3A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D4CE3E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1E274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AB440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571AF0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83F6E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4ECBE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F4906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02FE9E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DD9EB0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0687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E6B37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B9420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03941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6475A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75D23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18D17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4428D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0E0DC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FD2947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1A7F1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84021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FBF96D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E90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4B9B4E2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5BB5D1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0.15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F10B38">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0.15</w:t>
            </w:r>
          </w:p>
        </w:tc>
        <w:tc>
          <w:tcPr>
            <w:tcW w:w="0" w:type="auto"/>
            <w:tcBorders>
              <w:top w:val="nil"/>
              <w:left w:val="nil"/>
              <w:bottom w:val="single" w:color="auto" w:sz="4" w:space="0"/>
              <w:right w:val="single" w:color="auto" w:sz="4" w:space="0"/>
            </w:tcBorders>
            <w:shd w:val="clear" w:color="auto" w:fill="auto"/>
            <w:noWrap/>
            <w:vAlign w:val="center"/>
          </w:tcPr>
          <w:p w14:paraId="05237D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00E8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82D7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D92C5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1F87F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FCF24B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DFC4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B4B127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0FD13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6E0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EB3A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1E9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79D57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7DD1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6A35D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60E35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FC3B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3A7A0F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80DE4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13E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A08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5AE5E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76FE63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D74F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259B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6A45AC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17E31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4DE01E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61855D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209A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965B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A1A96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250BB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3081A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6A4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31A5F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1A8F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183939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76BA96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B7C1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C37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7B76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BB1B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B765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C937D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B2882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B463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EF8FAF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9235C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8987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50AC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4FE8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15AC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08F34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45CF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576062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58E568">
            <w:pPr>
              <w:widowControl/>
              <w:jc w:val="left"/>
              <w:textAlignment w:val="center"/>
              <w:rPr>
                <w:rFonts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1AD16889">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B7AD4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6CB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FEC6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7D08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F8C7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153C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567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00B8B7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7C7000">
            <w:pPr>
              <w:jc w:val="lef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eastAsia="zh-CN"/>
              </w:rPr>
              <w:t>八、社保保障和就业支出</w:t>
            </w:r>
          </w:p>
        </w:tc>
        <w:tc>
          <w:tcPr>
            <w:tcW w:w="0" w:type="auto"/>
            <w:tcBorders>
              <w:top w:val="nil"/>
              <w:left w:val="nil"/>
              <w:bottom w:val="single" w:color="auto" w:sz="4" w:space="0"/>
              <w:right w:val="single" w:color="auto" w:sz="4" w:space="0"/>
            </w:tcBorders>
            <w:shd w:val="clear" w:color="auto" w:fill="auto"/>
            <w:noWrap/>
            <w:vAlign w:val="center"/>
          </w:tcPr>
          <w:p w14:paraId="4E33F099">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565630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30D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6D9D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95FF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3E54D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AF582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9A3DAE9">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08A16C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898EE9">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6F2D6AEF">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53CE9AC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2FC303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6F4FEDB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29EE56F">
            <w:pPr>
              <w:widowControl/>
              <w:jc w:val="center"/>
              <w:rPr>
                <w:rFonts w:ascii="Times New Roman" w:hAnsi="Times New Roman" w:eastAsia="仿宋_GB2312" w:cs="Times New Roman"/>
                <w:kern w:val="0"/>
                <w:sz w:val="22"/>
              </w:rPr>
            </w:pPr>
          </w:p>
        </w:tc>
      </w:tr>
      <w:tr w14:paraId="7C501C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C8AD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5A87078">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AC73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CE374">
            <w:pPr>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b/>
                <w:bCs/>
                <w:color w:val="000000"/>
                <w:kern w:val="2"/>
                <w:sz w:val="20"/>
                <w:szCs w:val="20"/>
                <w:lang w:val="en-US" w:eastAsia="zh-CN" w:bidi="ar-SA"/>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7F52BBA4">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C1BEF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4D5E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2F2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2EAD0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1DA384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B3BE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D4F7B47">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5557A07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A4C8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872D153">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69B677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3985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ECC2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63E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8E14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0C6F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0B99CD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44C627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D7F17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B48D3F">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2A509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D968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4627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B4CC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27123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F6EE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C6067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0" w:type="auto"/>
            <w:tcBorders>
              <w:top w:val="nil"/>
              <w:left w:val="nil"/>
              <w:bottom w:val="single" w:color="auto" w:sz="4" w:space="0"/>
              <w:right w:val="single" w:color="auto" w:sz="4" w:space="0"/>
            </w:tcBorders>
            <w:shd w:val="clear" w:color="auto" w:fill="auto"/>
            <w:noWrap/>
            <w:vAlign w:val="center"/>
          </w:tcPr>
          <w:p w14:paraId="1F631C3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529F0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28D269D">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542D9B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F891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BE80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7BB1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11A4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E756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76CCCA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15A7EBB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B286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7089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nil"/>
              <w:left w:val="nil"/>
              <w:bottom w:val="single" w:color="auto" w:sz="4" w:space="0"/>
              <w:right w:val="single" w:color="auto" w:sz="4" w:space="0"/>
            </w:tcBorders>
            <w:shd w:val="clear" w:color="auto" w:fill="auto"/>
            <w:noWrap/>
            <w:vAlign w:val="center"/>
          </w:tcPr>
          <w:p w14:paraId="7AB2EE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A708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A13C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EF3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646C3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9F847B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687A8E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4EC4432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921FC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292F755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396A5037">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827.05</w:t>
            </w:r>
          </w:p>
        </w:tc>
        <w:tc>
          <w:tcPr>
            <w:tcW w:w="0" w:type="auto"/>
            <w:tcBorders>
              <w:top w:val="nil"/>
              <w:left w:val="nil"/>
              <w:bottom w:val="single" w:color="auto" w:sz="4" w:space="0"/>
              <w:right w:val="single" w:color="auto" w:sz="4" w:space="0"/>
            </w:tcBorders>
            <w:shd w:val="clear" w:color="000000" w:fill="FFFFFF"/>
            <w:noWrap/>
            <w:vAlign w:val="center"/>
          </w:tcPr>
          <w:p w14:paraId="0DE1F2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A6BB8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B4625B">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236F65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9B1C482">
      <w:pPr>
        <w:widowControl/>
        <w:jc w:val="center"/>
        <w:rPr>
          <w:rFonts w:ascii="Times New Roman" w:hAnsi="Times New Roman" w:eastAsia="方正小标宋_GBK" w:cs="Times New Roman"/>
          <w:kern w:val="0"/>
          <w:sz w:val="36"/>
          <w:szCs w:val="36"/>
        </w:rPr>
      </w:pPr>
    </w:p>
    <w:p w14:paraId="1DECF3B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325A3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BB836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6779D3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3FF75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B840B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CB3C11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12583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461D4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F5089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CBDAE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E9C9C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173721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03632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91EB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0F8AE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F4A5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9612AC">
            <w:pPr>
              <w:widowControl/>
              <w:jc w:val="left"/>
              <w:rPr>
                <w:rFonts w:ascii="Times New Roman" w:hAnsi="Times New Roman" w:eastAsia="仿宋_GB2312" w:cs="Times New Roman"/>
                <w:kern w:val="0"/>
                <w:szCs w:val="21"/>
              </w:rPr>
            </w:pPr>
          </w:p>
        </w:tc>
      </w:tr>
      <w:tr w14:paraId="463A132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70E96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C590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8BC36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8697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BB1D475">
            <w:pPr>
              <w:widowControl/>
              <w:jc w:val="left"/>
              <w:rPr>
                <w:rFonts w:ascii="Times New Roman" w:hAnsi="Times New Roman" w:eastAsia="仿宋_GB2312" w:cs="Times New Roman"/>
                <w:kern w:val="0"/>
                <w:szCs w:val="21"/>
              </w:rPr>
            </w:pPr>
          </w:p>
        </w:tc>
      </w:tr>
      <w:tr w14:paraId="0081D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427A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91CCF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6A3B2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8B35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D962C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A3E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0F1B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827.05</w:t>
            </w:r>
          </w:p>
        </w:tc>
        <w:tc>
          <w:tcPr>
            <w:tcW w:w="3492" w:type="dxa"/>
            <w:tcBorders>
              <w:top w:val="nil"/>
              <w:left w:val="nil"/>
              <w:bottom w:val="single" w:color="auto" w:sz="4" w:space="0"/>
              <w:right w:val="single" w:color="auto" w:sz="4" w:space="0"/>
            </w:tcBorders>
            <w:shd w:val="clear" w:color="auto" w:fill="auto"/>
            <w:vAlign w:val="center"/>
          </w:tcPr>
          <w:p w14:paraId="188ABC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220891A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501.77</w:t>
            </w:r>
          </w:p>
        </w:tc>
      </w:tr>
      <w:tr w14:paraId="06B276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3CE45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1BA475DF">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83FB2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1ABEC2D2">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3A223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5D4A79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374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3194871C">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D5EB5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0903ECE7">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8B25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431F2B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0FD5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5FA968DC">
            <w:pPr>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A0AF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72F49639">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6D485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188B80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9F9B0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53A5202D">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50DFC1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829.9</w:t>
            </w:r>
          </w:p>
        </w:tc>
        <w:tc>
          <w:tcPr>
            <w:tcW w:w="3492" w:type="dxa"/>
            <w:tcBorders>
              <w:top w:val="nil"/>
              <w:left w:val="nil"/>
              <w:bottom w:val="single" w:color="auto" w:sz="4" w:space="0"/>
              <w:right w:val="single" w:color="auto" w:sz="4" w:space="0"/>
            </w:tcBorders>
            <w:shd w:val="clear" w:color="auto" w:fill="auto"/>
            <w:vAlign w:val="center"/>
          </w:tcPr>
          <w:p w14:paraId="546119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13541C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53C385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145A5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w:t>
            </w:r>
          </w:p>
        </w:tc>
        <w:tc>
          <w:tcPr>
            <w:tcW w:w="3527" w:type="dxa"/>
            <w:tcBorders>
              <w:top w:val="nil"/>
              <w:left w:val="nil"/>
              <w:bottom w:val="single" w:color="auto" w:sz="4" w:space="0"/>
              <w:right w:val="single" w:color="auto" w:sz="4" w:space="0"/>
            </w:tcBorders>
            <w:shd w:val="clear" w:color="000000" w:fill="FFFFFF"/>
            <w:vAlign w:val="center"/>
          </w:tcPr>
          <w:p w14:paraId="2A5E7C14">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3000" w:type="dxa"/>
            <w:tcBorders>
              <w:top w:val="nil"/>
              <w:left w:val="nil"/>
              <w:bottom w:val="single" w:color="auto" w:sz="4" w:space="0"/>
              <w:right w:val="single" w:color="auto" w:sz="4" w:space="0"/>
            </w:tcBorders>
            <w:shd w:val="clear" w:color="auto" w:fill="auto"/>
            <w:vAlign w:val="center"/>
          </w:tcPr>
          <w:p w14:paraId="338B71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826.9</w:t>
            </w:r>
          </w:p>
        </w:tc>
        <w:tc>
          <w:tcPr>
            <w:tcW w:w="3492" w:type="dxa"/>
            <w:tcBorders>
              <w:top w:val="nil"/>
              <w:left w:val="nil"/>
              <w:bottom w:val="single" w:color="auto" w:sz="4" w:space="0"/>
              <w:right w:val="single" w:color="auto" w:sz="4" w:space="0"/>
            </w:tcBorders>
            <w:shd w:val="clear" w:color="auto" w:fill="auto"/>
            <w:vAlign w:val="center"/>
          </w:tcPr>
          <w:p w14:paraId="7FC3C13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3BC9F4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65BEF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8F3C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2101505</w:t>
            </w:r>
          </w:p>
        </w:tc>
        <w:tc>
          <w:tcPr>
            <w:tcW w:w="3527" w:type="dxa"/>
            <w:tcBorders>
              <w:top w:val="nil"/>
              <w:left w:val="nil"/>
              <w:bottom w:val="single" w:color="auto" w:sz="4" w:space="0"/>
              <w:right w:val="single" w:color="auto" w:sz="4" w:space="0"/>
            </w:tcBorders>
            <w:shd w:val="clear" w:color="000000" w:fill="FFFFFF"/>
            <w:vAlign w:val="center"/>
          </w:tcPr>
          <w:p w14:paraId="3CB09153">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医疗保障政策管理</w:t>
            </w:r>
          </w:p>
        </w:tc>
        <w:tc>
          <w:tcPr>
            <w:tcW w:w="3000" w:type="dxa"/>
            <w:tcBorders>
              <w:top w:val="nil"/>
              <w:left w:val="nil"/>
              <w:bottom w:val="single" w:color="auto" w:sz="4" w:space="0"/>
              <w:right w:val="single" w:color="auto" w:sz="4" w:space="0"/>
            </w:tcBorders>
            <w:shd w:val="clear" w:color="auto" w:fill="auto"/>
            <w:vAlign w:val="center"/>
          </w:tcPr>
          <w:p w14:paraId="4B3B921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c>
          <w:tcPr>
            <w:tcW w:w="3492" w:type="dxa"/>
            <w:tcBorders>
              <w:top w:val="nil"/>
              <w:left w:val="nil"/>
              <w:bottom w:val="single" w:color="auto" w:sz="4" w:space="0"/>
              <w:right w:val="single" w:color="auto" w:sz="4" w:space="0"/>
            </w:tcBorders>
            <w:shd w:val="clear" w:color="auto" w:fill="auto"/>
            <w:vAlign w:val="center"/>
          </w:tcPr>
          <w:p w14:paraId="1AD517D8">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00E6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r>
      <w:tr w14:paraId="434F35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AC0C2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2101599</w:t>
            </w:r>
          </w:p>
        </w:tc>
        <w:tc>
          <w:tcPr>
            <w:tcW w:w="3527" w:type="dxa"/>
            <w:tcBorders>
              <w:top w:val="nil"/>
              <w:left w:val="nil"/>
              <w:bottom w:val="single" w:color="auto" w:sz="8" w:space="0"/>
              <w:right w:val="single" w:color="auto" w:sz="4" w:space="0"/>
            </w:tcBorders>
            <w:shd w:val="clear" w:color="000000" w:fill="FFFFFF"/>
            <w:vAlign w:val="center"/>
          </w:tcPr>
          <w:p w14:paraId="15E83B3B">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其他医疗保障管理事务支出</w:t>
            </w:r>
          </w:p>
        </w:tc>
        <w:tc>
          <w:tcPr>
            <w:tcW w:w="3000" w:type="dxa"/>
            <w:tcBorders>
              <w:top w:val="nil"/>
              <w:left w:val="nil"/>
              <w:bottom w:val="single" w:color="auto" w:sz="8" w:space="0"/>
              <w:right w:val="single" w:color="auto" w:sz="4" w:space="0"/>
            </w:tcBorders>
            <w:shd w:val="clear" w:color="auto" w:fill="auto"/>
            <w:vAlign w:val="center"/>
          </w:tcPr>
          <w:p w14:paraId="4FC32F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c>
          <w:tcPr>
            <w:tcW w:w="3492" w:type="dxa"/>
            <w:tcBorders>
              <w:top w:val="nil"/>
              <w:left w:val="nil"/>
              <w:bottom w:val="single" w:color="auto" w:sz="8" w:space="0"/>
              <w:right w:val="single" w:color="auto" w:sz="4" w:space="0"/>
            </w:tcBorders>
            <w:shd w:val="clear" w:color="auto" w:fill="auto"/>
            <w:vAlign w:val="center"/>
          </w:tcPr>
          <w:p w14:paraId="5DC212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8" w:space="0"/>
              <w:right w:val="single" w:color="auto" w:sz="8" w:space="0"/>
            </w:tcBorders>
            <w:shd w:val="clear" w:color="auto" w:fill="auto"/>
            <w:vAlign w:val="center"/>
          </w:tcPr>
          <w:p w14:paraId="18733A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365.61</w:t>
            </w:r>
          </w:p>
        </w:tc>
      </w:tr>
    </w:tbl>
    <w:p w14:paraId="7C0A0B76">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8380426">
      <w:pPr>
        <w:widowControl/>
        <w:jc w:val="left"/>
        <w:rPr>
          <w:rFonts w:ascii="Times New Roman" w:hAnsi="Times New Roman" w:eastAsia="仿宋_GB2312" w:cs="Times New Roman"/>
          <w:bCs/>
          <w:kern w:val="0"/>
          <w:szCs w:val="21"/>
        </w:rPr>
      </w:pPr>
    </w:p>
    <w:p w14:paraId="0A6C76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F9BF14E">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8D0EB63">
      <w:pPr>
        <w:widowControl/>
        <w:wordWrap w:val="0"/>
        <w:spacing w:line="240" w:lineRule="exact"/>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7C5D5DB8">
      <w:pPr>
        <w:widowControl/>
        <w:spacing w:line="240" w:lineRule="exact"/>
        <w:jc w:val="both"/>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怀化市医疗保障局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CE40A0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571187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F729B9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2D330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E9508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B2B3DE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49F83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8BCD65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2EA71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93F92F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E499D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B8D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61D5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087697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18"/>
                <w:lang w:val="en-US" w:eastAsia="zh-CN"/>
              </w:rPr>
              <w:t>285.75</w:t>
            </w:r>
          </w:p>
        </w:tc>
        <w:tc>
          <w:tcPr>
            <w:tcW w:w="1116" w:type="dxa"/>
            <w:tcBorders>
              <w:top w:val="nil"/>
              <w:left w:val="nil"/>
              <w:bottom w:val="single" w:color="auto" w:sz="4" w:space="0"/>
              <w:right w:val="single" w:color="auto" w:sz="4" w:space="0"/>
            </w:tcBorders>
            <w:shd w:val="clear" w:color="auto" w:fill="auto"/>
            <w:noWrap/>
            <w:vAlign w:val="center"/>
          </w:tcPr>
          <w:p w14:paraId="3C16F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DBD5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C2E6F7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38.98</w:t>
            </w:r>
          </w:p>
        </w:tc>
        <w:tc>
          <w:tcPr>
            <w:tcW w:w="1217" w:type="dxa"/>
            <w:tcBorders>
              <w:top w:val="nil"/>
              <w:left w:val="nil"/>
              <w:bottom w:val="single" w:color="auto" w:sz="4" w:space="0"/>
              <w:right w:val="single" w:color="auto" w:sz="4" w:space="0"/>
            </w:tcBorders>
            <w:shd w:val="clear" w:color="auto" w:fill="auto"/>
            <w:noWrap/>
            <w:vAlign w:val="center"/>
          </w:tcPr>
          <w:p w14:paraId="4BF209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2C0A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FDDD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CC78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D19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1607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3B93E1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45.04</w:t>
            </w:r>
          </w:p>
        </w:tc>
        <w:tc>
          <w:tcPr>
            <w:tcW w:w="1116" w:type="dxa"/>
            <w:tcBorders>
              <w:top w:val="nil"/>
              <w:left w:val="nil"/>
              <w:bottom w:val="single" w:color="auto" w:sz="4" w:space="0"/>
              <w:right w:val="single" w:color="auto" w:sz="4" w:space="0"/>
            </w:tcBorders>
            <w:shd w:val="clear" w:color="auto" w:fill="auto"/>
            <w:noWrap/>
            <w:vAlign w:val="center"/>
          </w:tcPr>
          <w:p w14:paraId="77A8EC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A63FE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777DB7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w:t>
            </w:r>
          </w:p>
        </w:tc>
        <w:tc>
          <w:tcPr>
            <w:tcW w:w="1217" w:type="dxa"/>
            <w:tcBorders>
              <w:top w:val="nil"/>
              <w:left w:val="nil"/>
              <w:bottom w:val="single" w:color="auto" w:sz="4" w:space="0"/>
              <w:right w:val="single" w:color="auto" w:sz="4" w:space="0"/>
            </w:tcBorders>
            <w:shd w:val="clear" w:color="auto" w:fill="auto"/>
            <w:noWrap/>
            <w:vAlign w:val="center"/>
          </w:tcPr>
          <w:p w14:paraId="535F2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B43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CEC0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C330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0C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FB53E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3C65E9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51.47</w:t>
            </w:r>
          </w:p>
        </w:tc>
        <w:tc>
          <w:tcPr>
            <w:tcW w:w="1116" w:type="dxa"/>
            <w:tcBorders>
              <w:top w:val="nil"/>
              <w:left w:val="nil"/>
              <w:bottom w:val="single" w:color="auto" w:sz="4" w:space="0"/>
              <w:right w:val="single" w:color="auto" w:sz="4" w:space="0"/>
            </w:tcBorders>
            <w:shd w:val="clear" w:color="auto" w:fill="auto"/>
            <w:noWrap/>
            <w:vAlign w:val="center"/>
          </w:tcPr>
          <w:p w14:paraId="6134AA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42F17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326BF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9BFF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8F08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3D6E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75B8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DC7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21C6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C6FC4A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25.48</w:t>
            </w:r>
          </w:p>
        </w:tc>
        <w:tc>
          <w:tcPr>
            <w:tcW w:w="1116" w:type="dxa"/>
            <w:tcBorders>
              <w:top w:val="nil"/>
              <w:left w:val="nil"/>
              <w:bottom w:val="single" w:color="auto" w:sz="4" w:space="0"/>
              <w:right w:val="single" w:color="auto" w:sz="4" w:space="0"/>
            </w:tcBorders>
            <w:shd w:val="clear" w:color="auto" w:fill="auto"/>
            <w:noWrap/>
            <w:vAlign w:val="center"/>
          </w:tcPr>
          <w:p w14:paraId="4AD84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8BEB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A521A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37B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704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964C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72D1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3E3E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D1085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0EDEF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CA612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AA9E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C3BF0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DEAC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B033E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723AF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EBD1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7A7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9AF9F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9F8404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39.86</w:t>
            </w:r>
          </w:p>
        </w:tc>
        <w:tc>
          <w:tcPr>
            <w:tcW w:w="1116" w:type="dxa"/>
            <w:tcBorders>
              <w:top w:val="nil"/>
              <w:left w:val="nil"/>
              <w:bottom w:val="single" w:color="auto" w:sz="4" w:space="0"/>
              <w:right w:val="single" w:color="auto" w:sz="4" w:space="0"/>
            </w:tcBorders>
            <w:shd w:val="clear" w:color="auto" w:fill="auto"/>
            <w:noWrap/>
            <w:vAlign w:val="center"/>
          </w:tcPr>
          <w:p w14:paraId="64D2C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EA38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98EE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E977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0A17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DB97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5162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646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EC2B8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C43C92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45.22</w:t>
            </w:r>
          </w:p>
        </w:tc>
        <w:tc>
          <w:tcPr>
            <w:tcW w:w="1116" w:type="dxa"/>
            <w:tcBorders>
              <w:top w:val="nil"/>
              <w:left w:val="nil"/>
              <w:bottom w:val="single" w:color="auto" w:sz="4" w:space="0"/>
              <w:right w:val="single" w:color="auto" w:sz="4" w:space="0"/>
            </w:tcBorders>
            <w:shd w:val="clear" w:color="auto" w:fill="auto"/>
            <w:noWrap/>
            <w:vAlign w:val="center"/>
          </w:tcPr>
          <w:p w14:paraId="355BB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9A7F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5BC3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C13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117DD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DD98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B91D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F1F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2D07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114A45A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9.14</w:t>
            </w:r>
          </w:p>
        </w:tc>
        <w:tc>
          <w:tcPr>
            <w:tcW w:w="1116" w:type="dxa"/>
            <w:tcBorders>
              <w:top w:val="nil"/>
              <w:left w:val="nil"/>
              <w:bottom w:val="single" w:color="auto" w:sz="4" w:space="0"/>
              <w:right w:val="single" w:color="auto" w:sz="4" w:space="0"/>
            </w:tcBorders>
            <w:shd w:val="clear" w:color="auto" w:fill="auto"/>
            <w:noWrap/>
            <w:vAlign w:val="center"/>
          </w:tcPr>
          <w:p w14:paraId="75C41D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EA42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0043A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827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754C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E33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2F36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B50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686DF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C09823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14.6</w:t>
            </w:r>
          </w:p>
        </w:tc>
        <w:tc>
          <w:tcPr>
            <w:tcW w:w="1116" w:type="dxa"/>
            <w:tcBorders>
              <w:top w:val="nil"/>
              <w:left w:val="nil"/>
              <w:bottom w:val="single" w:color="auto" w:sz="4" w:space="0"/>
              <w:right w:val="single" w:color="auto" w:sz="4" w:space="0"/>
            </w:tcBorders>
            <w:shd w:val="clear" w:color="auto" w:fill="auto"/>
            <w:noWrap/>
            <w:vAlign w:val="center"/>
          </w:tcPr>
          <w:p w14:paraId="66A36E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5856E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744EE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D4A6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6526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F3D2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9241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FCB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415C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2103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C71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4F574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39449A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0B8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0C92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8B69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EA6B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52B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386C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129F43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w:t>
            </w:r>
          </w:p>
        </w:tc>
        <w:tc>
          <w:tcPr>
            <w:tcW w:w="1116" w:type="dxa"/>
            <w:tcBorders>
              <w:top w:val="nil"/>
              <w:left w:val="nil"/>
              <w:bottom w:val="single" w:color="auto" w:sz="4" w:space="0"/>
              <w:right w:val="single" w:color="auto" w:sz="4" w:space="0"/>
            </w:tcBorders>
            <w:shd w:val="clear" w:color="auto" w:fill="auto"/>
            <w:noWrap/>
            <w:vAlign w:val="center"/>
          </w:tcPr>
          <w:p w14:paraId="54D8C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1F1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7E1AA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4BC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E1911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4E77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21F7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A02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2A1E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882BF5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51.12</w:t>
            </w:r>
          </w:p>
        </w:tc>
        <w:tc>
          <w:tcPr>
            <w:tcW w:w="1116" w:type="dxa"/>
            <w:tcBorders>
              <w:top w:val="nil"/>
              <w:left w:val="nil"/>
              <w:bottom w:val="single" w:color="auto" w:sz="4" w:space="0"/>
              <w:right w:val="single" w:color="auto" w:sz="4" w:space="0"/>
            </w:tcBorders>
            <w:shd w:val="clear" w:color="auto" w:fill="auto"/>
            <w:noWrap/>
            <w:vAlign w:val="center"/>
          </w:tcPr>
          <w:p w14:paraId="26311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24948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E7471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6420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DCC7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6587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DE1B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765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5F55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D2B1B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35C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ED98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5FFC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F7C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9C73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587D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9F15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FDE0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3059C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9E2064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2.06</w:t>
            </w:r>
          </w:p>
        </w:tc>
        <w:tc>
          <w:tcPr>
            <w:tcW w:w="1116" w:type="dxa"/>
            <w:tcBorders>
              <w:top w:val="nil"/>
              <w:left w:val="nil"/>
              <w:bottom w:val="single" w:color="auto" w:sz="4" w:space="0"/>
              <w:right w:val="single" w:color="auto" w:sz="4" w:space="0"/>
            </w:tcBorders>
            <w:shd w:val="clear" w:color="auto" w:fill="auto"/>
            <w:noWrap/>
            <w:vAlign w:val="center"/>
          </w:tcPr>
          <w:p w14:paraId="24709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ED2D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7F04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037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737A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D197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09F9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D1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E205D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14C1D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0.55</w:t>
            </w:r>
          </w:p>
        </w:tc>
        <w:tc>
          <w:tcPr>
            <w:tcW w:w="1116" w:type="dxa"/>
            <w:tcBorders>
              <w:top w:val="nil"/>
              <w:left w:val="nil"/>
              <w:bottom w:val="single" w:color="auto" w:sz="4" w:space="0"/>
              <w:right w:val="single" w:color="auto" w:sz="4" w:space="0"/>
            </w:tcBorders>
            <w:shd w:val="clear" w:color="auto" w:fill="auto"/>
            <w:noWrap/>
            <w:vAlign w:val="center"/>
          </w:tcPr>
          <w:p w14:paraId="2BC5B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D4D4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9A45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F59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5CD4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9729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7782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BF4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9885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276F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7DF8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A3103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ADA6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6907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4FD4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C3196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15E7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AA3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E85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F517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D30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DE37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B71F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ACAF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B8D9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ED5B2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1B28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451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066F9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0D19D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114E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FB6CB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4A971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4B2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5B25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BFCB7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E64F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F43E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7364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81F9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825A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6E29A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270D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2C9D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D7AE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ECBC7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098D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1EAD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449B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2BB8F9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0.37</w:t>
            </w:r>
          </w:p>
        </w:tc>
        <w:tc>
          <w:tcPr>
            <w:tcW w:w="1116" w:type="dxa"/>
            <w:tcBorders>
              <w:top w:val="nil"/>
              <w:left w:val="nil"/>
              <w:bottom w:val="single" w:color="auto" w:sz="4" w:space="0"/>
              <w:right w:val="single" w:color="auto" w:sz="4" w:space="0"/>
            </w:tcBorders>
            <w:shd w:val="clear" w:color="auto" w:fill="auto"/>
            <w:noWrap/>
            <w:vAlign w:val="center"/>
          </w:tcPr>
          <w:p w14:paraId="1158B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7A989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500B9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091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15AE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74397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8832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12D4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4500A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3DC3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D9E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186A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EDC5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FF7B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F53D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0D5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C565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27B9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B41D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A29D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F1A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5D36F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8482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90D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091B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ADA2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38D3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1D4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ABB7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4FFB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1B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9A90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A19576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20.44</w:t>
            </w:r>
          </w:p>
        </w:tc>
        <w:tc>
          <w:tcPr>
            <w:tcW w:w="1217" w:type="dxa"/>
            <w:tcBorders>
              <w:top w:val="nil"/>
              <w:left w:val="nil"/>
              <w:bottom w:val="single" w:color="auto" w:sz="4" w:space="0"/>
              <w:right w:val="single" w:color="auto" w:sz="4" w:space="0"/>
            </w:tcBorders>
            <w:shd w:val="clear" w:color="auto" w:fill="auto"/>
            <w:noWrap/>
            <w:vAlign w:val="center"/>
          </w:tcPr>
          <w:p w14:paraId="313B68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8CB3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992AB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ED59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BC8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2E960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854580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0.18</w:t>
            </w:r>
          </w:p>
        </w:tc>
        <w:tc>
          <w:tcPr>
            <w:tcW w:w="1116" w:type="dxa"/>
            <w:tcBorders>
              <w:top w:val="nil"/>
              <w:left w:val="nil"/>
              <w:bottom w:val="single" w:color="auto" w:sz="4" w:space="0"/>
              <w:right w:val="single" w:color="auto" w:sz="4" w:space="0"/>
            </w:tcBorders>
            <w:shd w:val="clear" w:color="auto" w:fill="auto"/>
            <w:noWrap/>
            <w:vAlign w:val="center"/>
          </w:tcPr>
          <w:p w14:paraId="58BB8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FE02D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4D765C1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w:t>
            </w:r>
          </w:p>
        </w:tc>
        <w:tc>
          <w:tcPr>
            <w:tcW w:w="1217" w:type="dxa"/>
            <w:tcBorders>
              <w:top w:val="nil"/>
              <w:left w:val="nil"/>
              <w:bottom w:val="single" w:color="auto" w:sz="4" w:space="0"/>
              <w:right w:val="single" w:color="auto" w:sz="4" w:space="0"/>
            </w:tcBorders>
            <w:shd w:val="clear" w:color="auto" w:fill="auto"/>
            <w:noWrap/>
            <w:vAlign w:val="center"/>
          </w:tcPr>
          <w:p w14:paraId="7413F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3105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4B30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7BC1ADA">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100D37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B47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A70578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3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28E633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87D115E">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76E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5AFA36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CB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AFDBD3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F583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2781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2948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372F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32DF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91A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2F09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1D37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9E5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CB766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79D2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62C4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E1C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E93E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864EE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CD8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191A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8B1EBC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17.57</w:t>
            </w:r>
          </w:p>
        </w:tc>
        <w:tc>
          <w:tcPr>
            <w:tcW w:w="1217" w:type="dxa"/>
            <w:tcBorders>
              <w:top w:val="nil"/>
              <w:left w:val="nil"/>
              <w:bottom w:val="single" w:color="auto" w:sz="4" w:space="0"/>
              <w:right w:val="single" w:color="auto" w:sz="4" w:space="0"/>
            </w:tcBorders>
            <w:shd w:val="clear" w:color="auto" w:fill="auto"/>
            <w:noWrap/>
            <w:vAlign w:val="center"/>
          </w:tcPr>
          <w:p w14:paraId="12E04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2D919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2EE8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992D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03D0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29DD8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714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AAF5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F1B56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8E859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70E37C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F0D7561">
            <w:pPr>
              <w:widowControl/>
              <w:jc w:val="left"/>
              <w:rPr>
                <w:rFonts w:hint="default" w:ascii="Times New Roman" w:hAnsi="Times New Roman" w:eastAsia="仿宋_GB2312" w:cs="Times New Roman"/>
                <w:color w:val="000000"/>
                <w:kern w:val="0"/>
                <w:szCs w:val="18"/>
                <w:lang w:val="en-US" w:eastAsia="zh-CN"/>
              </w:rPr>
            </w:pPr>
          </w:p>
        </w:tc>
        <w:tc>
          <w:tcPr>
            <w:tcW w:w="929" w:type="dxa"/>
            <w:tcBorders>
              <w:top w:val="nil"/>
              <w:left w:val="nil"/>
              <w:bottom w:val="single" w:color="auto" w:sz="4" w:space="0"/>
              <w:right w:val="single" w:color="auto" w:sz="4" w:space="0"/>
            </w:tcBorders>
            <w:shd w:val="clear" w:color="auto" w:fill="auto"/>
            <w:noWrap/>
            <w:vAlign w:val="center"/>
          </w:tcPr>
          <w:p w14:paraId="16326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28E8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69A8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A5AF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8313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FE5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5946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972307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0.57</w:t>
            </w:r>
          </w:p>
        </w:tc>
        <w:tc>
          <w:tcPr>
            <w:tcW w:w="1217" w:type="dxa"/>
            <w:tcBorders>
              <w:top w:val="nil"/>
              <w:left w:val="nil"/>
              <w:bottom w:val="single" w:color="auto" w:sz="4" w:space="0"/>
              <w:right w:val="single" w:color="auto" w:sz="4" w:space="0"/>
            </w:tcBorders>
            <w:shd w:val="clear" w:color="auto" w:fill="auto"/>
            <w:noWrap/>
            <w:vAlign w:val="center"/>
          </w:tcPr>
          <w:p w14:paraId="79A5EC8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F165E9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D97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5AE5F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D85A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FE77EA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286.3</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9292FD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D1B79E1">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38.98</w:t>
            </w:r>
          </w:p>
        </w:tc>
      </w:tr>
    </w:tbl>
    <w:p w14:paraId="07A501F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5528DE5">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280C09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50D89D8">
      <w:pPr>
        <w:widowControl/>
        <w:tabs>
          <w:tab w:val="left" w:pos="920"/>
          <w:tab w:val="left" w:pos="1157"/>
          <w:tab w:val="left" w:pos="2434"/>
          <w:tab w:val="left" w:pos="4352"/>
          <w:tab w:val="left" w:pos="6295"/>
          <w:tab w:val="left" w:pos="8214"/>
          <w:tab w:val="left" w:pos="10149"/>
          <w:tab w:val="left" w:pos="12067"/>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公开07表</w:t>
      </w:r>
    </w:p>
    <w:p w14:paraId="5553A5E7">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580195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F7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DF8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A22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411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53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1D41EF4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1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FFF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246C">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945E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3C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0A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5E2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009BA">
            <w:pPr>
              <w:widowControl/>
              <w:jc w:val="center"/>
              <w:rPr>
                <w:rFonts w:ascii="Times New Roman" w:hAnsi="Times New Roman" w:eastAsia="仿宋_GB2312" w:cs="Times New Roman"/>
                <w:color w:val="000000"/>
                <w:sz w:val="24"/>
                <w:szCs w:val="24"/>
              </w:rPr>
            </w:pPr>
          </w:p>
        </w:tc>
      </w:tr>
      <w:tr w14:paraId="13A8578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FD3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324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F644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957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4C4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24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99A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BB27">
            <w:pPr>
              <w:jc w:val="center"/>
              <w:rPr>
                <w:rFonts w:ascii="Times New Roman" w:hAnsi="Times New Roman" w:eastAsia="仿宋_GB2312" w:cs="Times New Roman"/>
                <w:color w:val="000000"/>
                <w:sz w:val="24"/>
                <w:szCs w:val="24"/>
              </w:rPr>
            </w:pPr>
          </w:p>
        </w:tc>
      </w:tr>
      <w:tr w14:paraId="1FE2CA1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D205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B6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DC6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0B09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7A0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E2B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029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9AA6F">
            <w:pPr>
              <w:jc w:val="center"/>
              <w:rPr>
                <w:rFonts w:ascii="Times New Roman" w:hAnsi="Times New Roman" w:eastAsia="仿宋_GB2312" w:cs="Times New Roman"/>
                <w:color w:val="000000"/>
                <w:sz w:val="24"/>
                <w:szCs w:val="24"/>
              </w:rPr>
            </w:pPr>
          </w:p>
        </w:tc>
      </w:tr>
      <w:tr w14:paraId="6192BB6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334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73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2C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9D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1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53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30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7BE449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A0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AE95">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DB0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583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5F7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307A">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A8A8">
            <w:pPr>
              <w:jc w:val="center"/>
              <w:rPr>
                <w:rFonts w:ascii="Times New Roman" w:hAnsi="Times New Roman" w:eastAsia="仿宋_GB2312" w:cs="Times New Roman"/>
                <w:color w:val="000000"/>
                <w:sz w:val="24"/>
                <w:szCs w:val="24"/>
              </w:rPr>
            </w:pPr>
          </w:p>
        </w:tc>
      </w:tr>
      <w:tr w14:paraId="4F2379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32C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C6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75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13D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D0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98D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08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6F3">
            <w:pPr>
              <w:rPr>
                <w:rFonts w:ascii="Times New Roman" w:hAnsi="Times New Roman" w:eastAsia="仿宋_GB2312" w:cs="Times New Roman"/>
                <w:color w:val="000000"/>
                <w:sz w:val="24"/>
                <w:szCs w:val="24"/>
              </w:rPr>
            </w:pPr>
          </w:p>
        </w:tc>
      </w:tr>
      <w:tr w14:paraId="1A54975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12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F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390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12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797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31F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166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998">
            <w:pPr>
              <w:rPr>
                <w:rFonts w:ascii="Times New Roman" w:hAnsi="Times New Roman" w:eastAsia="仿宋_GB2312" w:cs="Times New Roman"/>
                <w:color w:val="000000"/>
                <w:sz w:val="24"/>
                <w:szCs w:val="24"/>
              </w:rPr>
            </w:pPr>
          </w:p>
        </w:tc>
      </w:tr>
      <w:tr w14:paraId="0F670D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ED6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32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47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36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08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74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91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6BD9">
            <w:pPr>
              <w:rPr>
                <w:rFonts w:ascii="Times New Roman" w:hAnsi="Times New Roman" w:eastAsia="仿宋_GB2312" w:cs="Times New Roman"/>
                <w:color w:val="000000"/>
                <w:sz w:val="24"/>
                <w:szCs w:val="24"/>
              </w:rPr>
            </w:pPr>
          </w:p>
        </w:tc>
      </w:tr>
      <w:tr w14:paraId="5105E5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9FB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1D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DFE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60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BC8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1C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60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DA0E">
            <w:pPr>
              <w:rPr>
                <w:rFonts w:ascii="Times New Roman" w:hAnsi="Times New Roman" w:eastAsia="仿宋_GB2312" w:cs="Times New Roman"/>
                <w:color w:val="000000"/>
                <w:sz w:val="24"/>
                <w:szCs w:val="24"/>
              </w:rPr>
            </w:pPr>
          </w:p>
        </w:tc>
      </w:tr>
      <w:tr w14:paraId="3DFD09E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2C7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012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FC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70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931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1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76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4A56">
            <w:pPr>
              <w:rPr>
                <w:rFonts w:ascii="Times New Roman" w:hAnsi="Times New Roman" w:eastAsia="仿宋_GB2312" w:cs="Times New Roman"/>
                <w:color w:val="000000"/>
                <w:sz w:val="24"/>
                <w:szCs w:val="24"/>
              </w:rPr>
            </w:pPr>
          </w:p>
        </w:tc>
      </w:tr>
      <w:tr w14:paraId="1C18E3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B98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64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73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06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23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52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D8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8613">
            <w:pPr>
              <w:rPr>
                <w:rFonts w:ascii="Times New Roman" w:hAnsi="Times New Roman" w:eastAsia="仿宋_GB2312" w:cs="Times New Roman"/>
                <w:color w:val="000000"/>
                <w:sz w:val="24"/>
                <w:szCs w:val="24"/>
              </w:rPr>
            </w:pPr>
          </w:p>
        </w:tc>
      </w:tr>
    </w:tbl>
    <w:p w14:paraId="556823E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A829FCB">
      <w:pPr>
        <w:widowControl/>
        <w:jc w:val="left"/>
        <w:textAlignment w:val="center"/>
        <w:rPr>
          <w:rFonts w:ascii="Times New Roman" w:hAnsi="Times New Roman" w:eastAsia="仿宋_GB2312" w:cs="Times New Roman"/>
          <w:color w:val="000000"/>
          <w:kern w:val="0"/>
          <w:sz w:val="24"/>
          <w:szCs w:val="24"/>
          <w:lang w:bidi="ar"/>
        </w:rPr>
      </w:pPr>
    </w:p>
    <w:p w14:paraId="241DAE57">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E0A080D">
      <w:pPr>
        <w:widowControl/>
        <w:jc w:val="center"/>
        <w:rPr>
          <w:rFonts w:ascii="Times New Roman" w:hAnsi="Times New Roman" w:eastAsia="方正小标宋_GBK" w:cs="Times New Roman"/>
          <w:color w:val="000000"/>
          <w:kern w:val="0"/>
          <w:sz w:val="36"/>
          <w:szCs w:val="36"/>
        </w:rPr>
      </w:pPr>
    </w:p>
    <w:p w14:paraId="5067E5C2">
      <w:pPr>
        <w:widowControl/>
        <w:spacing w:line="400" w:lineRule="exact"/>
        <w:textAlignment w:val="center"/>
        <w:rPr>
          <w:rFonts w:ascii="Times New Roman" w:hAnsi="Times New Roman" w:eastAsia="黑体" w:cs="Times New Roman"/>
          <w:color w:val="000000"/>
          <w:kern w:val="0"/>
          <w:sz w:val="36"/>
          <w:szCs w:val="36"/>
          <w:lang w:bidi="ar"/>
        </w:rPr>
      </w:pPr>
    </w:p>
    <w:p w14:paraId="5EBC684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14529F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D428695">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617DC1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E9B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BBD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96094F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A5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071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147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024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10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F1DCC2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95C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EF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174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0F0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D69F3">
            <w:pPr>
              <w:jc w:val="center"/>
              <w:rPr>
                <w:rFonts w:ascii="Times New Roman" w:hAnsi="Times New Roman" w:eastAsia="仿宋_GB2312" w:cs="Times New Roman"/>
                <w:color w:val="000000"/>
                <w:sz w:val="24"/>
                <w:szCs w:val="24"/>
              </w:rPr>
            </w:pPr>
          </w:p>
        </w:tc>
      </w:tr>
      <w:tr w14:paraId="5DC2F70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7D5C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818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E423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D1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515E">
            <w:pPr>
              <w:jc w:val="center"/>
              <w:rPr>
                <w:rFonts w:ascii="Times New Roman" w:hAnsi="Times New Roman" w:eastAsia="仿宋_GB2312" w:cs="Times New Roman"/>
                <w:color w:val="000000"/>
                <w:sz w:val="24"/>
                <w:szCs w:val="24"/>
              </w:rPr>
            </w:pPr>
          </w:p>
        </w:tc>
      </w:tr>
      <w:tr w14:paraId="1481A82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DDA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31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5A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39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18860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C7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455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05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E952">
            <w:pPr>
              <w:jc w:val="center"/>
              <w:rPr>
                <w:rFonts w:ascii="Times New Roman" w:hAnsi="Times New Roman" w:eastAsia="仿宋_GB2312" w:cs="Times New Roman"/>
                <w:color w:val="000000"/>
                <w:sz w:val="24"/>
                <w:szCs w:val="24"/>
              </w:rPr>
            </w:pPr>
          </w:p>
        </w:tc>
      </w:tr>
      <w:tr w14:paraId="126E316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6D8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C25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982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C59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6CC1">
            <w:pPr>
              <w:rPr>
                <w:rFonts w:ascii="Times New Roman" w:hAnsi="Times New Roman" w:eastAsia="仿宋_GB2312" w:cs="Times New Roman"/>
                <w:color w:val="000000"/>
                <w:sz w:val="24"/>
                <w:szCs w:val="24"/>
              </w:rPr>
            </w:pPr>
          </w:p>
        </w:tc>
      </w:tr>
      <w:tr w14:paraId="0FF8EA9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9B9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29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D7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15B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568D">
            <w:pPr>
              <w:rPr>
                <w:rFonts w:ascii="Times New Roman" w:hAnsi="Times New Roman" w:eastAsia="仿宋_GB2312" w:cs="Times New Roman"/>
                <w:color w:val="000000"/>
                <w:sz w:val="24"/>
                <w:szCs w:val="24"/>
              </w:rPr>
            </w:pPr>
          </w:p>
        </w:tc>
      </w:tr>
      <w:tr w14:paraId="43ED7E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2C9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90D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89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EE5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B49">
            <w:pPr>
              <w:rPr>
                <w:rFonts w:ascii="Times New Roman" w:hAnsi="Times New Roman" w:eastAsia="宋体" w:cs="Times New Roman"/>
                <w:color w:val="000000"/>
                <w:sz w:val="24"/>
                <w:szCs w:val="24"/>
              </w:rPr>
            </w:pPr>
          </w:p>
        </w:tc>
      </w:tr>
      <w:tr w14:paraId="3D8351D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332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98C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007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28A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71AA">
            <w:pPr>
              <w:rPr>
                <w:rFonts w:ascii="Times New Roman" w:hAnsi="Times New Roman" w:eastAsia="宋体" w:cs="Times New Roman"/>
                <w:color w:val="000000"/>
                <w:sz w:val="24"/>
                <w:szCs w:val="24"/>
              </w:rPr>
            </w:pPr>
          </w:p>
        </w:tc>
      </w:tr>
      <w:tr w14:paraId="654B570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52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B64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261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79B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002A">
            <w:pPr>
              <w:rPr>
                <w:rFonts w:ascii="Times New Roman" w:hAnsi="Times New Roman" w:eastAsia="宋体" w:cs="Times New Roman"/>
                <w:color w:val="000000"/>
                <w:sz w:val="24"/>
                <w:szCs w:val="24"/>
              </w:rPr>
            </w:pPr>
          </w:p>
        </w:tc>
      </w:tr>
      <w:tr w14:paraId="50605D7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743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194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06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BD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17E6">
            <w:pPr>
              <w:rPr>
                <w:rFonts w:ascii="Times New Roman" w:hAnsi="Times New Roman" w:eastAsia="宋体" w:cs="Times New Roman"/>
                <w:color w:val="000000"/>
                <w:sz w:val="24"/>
                <w:szCs w:val="24"/>
              </w:rPr>
            </w:pPr>
          </w:p>
        </w:tc>
      </w:tr>
    </w:tbl>
    <w:p w14:paraId="532FE7E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F8E2CFF">
      <w:pPr>
        <w:widowControl/>
        <w:jc w:val="left"/>
        <w:textAlignment w:val="center"/>
        <w:rPr>
          <w:rFonts w:ascii="Times New Roman" w:hAnsi="Times New Roman" w:eastAsia="宋体" w:cs="Times New Roman"/>
          <w:color w:val="000000"/>
          <w:kern w:val="0"/>
          <w:sz w:val="24"/>
          <w:szCs w:val="24"/>
          <w:lang w:bidi="ar"/>
        </w:rPr>
      </w:pPr>
    </w:p>
    <w:p w14:paraId="38B2FCF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0C71250A">
      <w:pPr>
        <w:widowControl/>
        <w:jc w:val="center"/>
        <w:rPr>
          <w:rFonts w:ascii="Times New Roman" w:hAnsi="Times New Roman" w:eastAsia="方正小标宋_GBK" w:cs="Times New Roman"/>
          <w:color w:val="000000"/>
          <w:kern w:val="0"/>
          <w:sz w:val="36"/>
          <w:szCs w:val="36"/>
        </w:rPr>
      </w:pPr>
    </w:p>
    <w:p w14:paraId="0A7B06FD">
      <w:pPr>
        <w:pStyle w:val="7"/>
        <w:spacing w:line="400" w:lineRule="exact"/>
        <w:rPr>
          <w:rFonts w:ascii="Times New Roman" w:hAnsi="Times New Roman" w:eastAsia="华文中宋" w:cs="Times New Roman"/>
          <w:color w:val="000000"/>
          <w:kern w:val="0"/>
          <w:sz w:val="32"/>
          <w:szCs w:val="32"/>
          <w:lang w:bidi="ar"/>
        </w:rPr>
      </w:pPr>
    </w:p>
    <w:p w14:paraId="1E40AE3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F04015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center"/>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val="en-US" w:eastAsia="zh-CN" w:bidi="ar"/>
        </w:rPr>
        <w:t xml:space="preserve">                                                                                                                         </w:t>
      </w:r>
      <w:r>
        <w:rPr>
          <w:rFonts w:ascii="Times New Roman" w:hAnsi="Times New Roman" w:eastAsia="楷体_GB2312" w:cs="Times New Roman"/>
          <w:color w:val="000000"/>
          <w:kern w:val="0"/>
          <w:sz w:val="20"/>
          <w:szCs w:val="20"/>
          <w:lang w:bidi="ar"/>
        </w:rPr>
        <w:t>公开09表</w:t>
      </w:r>
    </w:p>
    <w:p w14:paraId="2B79792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eastAsia="zh-CN" w:bidi="ar"/>
        </w:rPr>
        <w:t>怀化</w:t>
      </w: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怀化市医疗保障局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412136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44E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D66B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0753E0A7">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E23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D3A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A57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88E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8BB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02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60B9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D7A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AD2EA3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72E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5E3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11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A2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A26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E57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90FC">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AB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4E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95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D3C2">
            <w:pPr>
              <w:jc w:val="center"/>
              <w:rPr>
                <w:rFonts w:ascii="Times New Roman" w:hAnsi="Times New Roman" w:eastAsia="仿宋_GB2312" w:cs="Times New Roman"/>
                <w:color w:val="000000"/>
                <w:sz w:val="22"/>
              </w:rPr>
            </w:pPr>
          </w:p>
        </w:tc>
      </w:tr>
      <w:tr w14:paraId="1A7085B9">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50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91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96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02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80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73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0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F0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77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11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F8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1E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1BB3964">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006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A8C4">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21C3">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72B">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62FC">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22A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EF5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F90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70A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48EB">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1F7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474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2.15</w:t>
            </w:r>
          </w:p>
        </w:tc>
      </w:tr>
    </w:tbl>
    <w:p w14:paraId="166AB37A">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138B870">
      <w:pPr>
        <w:autoSpaceDE w:val="0"/>
        <w:autoSpaceDN w:val="0"/>
        <w:adjustRightInd w:val="0"/>
        <w:ind w:left="315" w:leftChars="150"/>
        <w:jc w:val="left"/>
        <w:rPr>
          <w:rFonts w:ascii="Times New Roman" w:hAnsi="Times New Roman" w:eastAsia="宋体" w:cs="Times New Roman"/>
          <w:kern w:val="0"/>
          <w:sz w:val="24"/>
          <w:szCs w:val="24"/>
        </w:rPr>
      </w:pPr>
    </w:p>
    <w:p w14:paraId="26C2121E">
      <w:pPr>
        <w:autoSpaceDE w:val="0"/>
        <w:autoSpaceDN w:val="0"/>
        <w:adjustRightInd w:val="0"/>
        <w:ind w:left="315" w:leftChars="150"/>
        <w:jc w:val="left"/>
        <w:rPr>
          <w:rFonts w:ascii="Times New Roman" w:hAnsi="Times New Roman" w:eastAsia="宋体" w:cs="Times New Roman"/>
          <w:kern w:val="0"/>
          <w:sz w:val="24"/>
          <w:szCs w:val="24"/>
        </w:rPr>
      </w:pPr>
    </w:p>
    <w:p w14:paraId="45F327E5">
      <w:pPr>
        <w:autoSpaceDE w:val="0"/>
        <w:autoSpaceDN w:val="0"/>
        <w:adjustRightInd w:val="0"/>
        <w:ind w:left="315" w:leftChars="150"/>
        <w:jc w:val="left"/>
        <w:rPr>
          <w:rFonts w:ascii="Times New Roman" w:hAnsi="Times New Roman" w:eastAsia="宋体" w:cs="Times New Roman"/>
          <w:kern w:val="0"/>
          <w:sz w:val="24"/>
          <w:szCs w:val="24"/>
        </w:rPr>
      </w:pPr>
    </w:p>
    <w:p w14:paraId="2E54BA7B">
      <w:pPr>
        <w:autoSpaceDE w:val="0"/>
        <w:autoSpaceDN w:val="0"/>
        <w:adjustRightInd w:val="0"/>
        <w:ind w:left="315" w:leftChars="150"/>
        <w:jc w:val="left"/>
        <w:rPr>
          <w:rFonts w:ascii="Times New Roman" w:hAnsi="Times New Roman" w:eastAsia="宋体" w:cs="Times New Roman"/>
          <w:kern w:val="0"/>
          <w:sz w:val="24"/>
          <w:szCs w:val="24"/>
        </w:rPr>
      </w:pPr>
    </w:p>
    <w:p w14:paraId="7083D021">
      <w:pPr>
        <w:autoSpaceDE w:val="0"/>
        <w:autoSpaceDN w:val="0"/>
        <w:adjustRightInd w:val="0"/>
        <w:ind w:left="315" w:leftChars="150"/>
        <w:jc w:val="left"/>
        <w:rPr>
          <w:rFonts w:ascii="Times New Roman" w:hAnsi="Times New Roman" w:eastAsia="宋体" w:cs="Times New Roman"/>
          <w:kern w:val="0"/>
          <w:sz w:val="24"/>
          <w:szCs w:val="24"/>
        </w:rPr>
      </w:pPr>
    </w:p>
    <w:p w14:paraId="6C2CAFF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4AAC058">
      <w:pPr>
        <w:pStyle w:val="13"/>
        <w:rPr>
          <w:rFonts w:ascii="Times New Roman" w:hAnsi="Times New Roman" w:cs="Times New Roman"/>
          <w:sz w:val="72"/>
          <w:szCs w:val="72"/>
        </w:rPr>
      </w:pPr>
    </w:p>
    <w:p w14:paraId="2A50CA3D">
      <w:pPr>
        <w:pStyle w:val="13"/>
        <w:rPr>
          <w:rFonts w:ascii="Times New Roman" w:hAnsi="Times New Roman" w:cs="Times New Roman"/>
          <w:sz w:val="72"/>
          <w:szCs w:val="72"/>
        </w:rPr>
      </w:pPr>
    </w:p>
    <w:p w14:paraId="5D916D9F">
      <w:pPr>
        <w:pStyle w:val="13"/>
        <w:rPr>
          <w:rFonts w:ascii="Times New Roman" w:hAnsi="Times New Roman" w:cs="Times New Roman"/>
          <w:sz w:val="72"/>
          <w:szCs w:val="72"/>
        </w:rPr>
      </w:pPr>
    </w:p>
    <w:p w14:paraId="033BB394">
      <w:pPr>
        <w:pStyle w:val="13"/>
        <w:jc w:val="center"/>
        <w:rPr>
          <w:rFonts w:ascii="Times New Roman" w:hAnsi="Times New Roman" w:cs="Times New Roman"/>
          <w:sz w:val="72"/>
          <w:szCs w:val="72"/>
        </w:rPr>
      </w:pPr>
    </w:p>
    <w:p w14:paraId="0C115BF4">
      <w:pPr>
        <w:pStyle w:val="13"/>
        <w:jc w:val="center"/>
        <w:rPr>
          <w:rFonts w:ascii="Times New Roman" w:hAnsi="Times New Roman" w:eastAsia="方正小标宋_GBK" w:cs="Times New Roman"/>
          <w:sz w:val="72"/>
          <w:szCs w:val="72"/>
        </w:rPr>
      </w:pPr>
    </w:p>
    <w:p w14:paraId="3A7854A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31E4E6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4513F6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F201F1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2489EA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39DD078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EE43DE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4AB11F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0AEBC7D">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325.28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39.33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501.77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60.67</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rPr>
        <w:t>上缴上级支出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%；经营支出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%；对附属单位补助支出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w:t>
      </w:r>
    </w:p>
    <w:p w14:paraId="494AD92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B07055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0CD7212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AE19F2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2F1105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%，与上年相比，财政拨款支出增加（减少）</w:t>
      </w:r>
      <w:r>
        <w:rPr>
          <w:rFonts w:hint="eastAsia" w:ascii="Times New Roman" w:hAnsi="Times New Roman" w:eastAsia="仿宋_GB2312" w:cs="Times New Roman"/>
          <w:sz w:val="32"/>
          <w:szCs w:val="32"/>
          <w:lang w:val="en-US" w:eastAsia="zh-CN"/>
        </w:rPr>
        <w:t>72.46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仿宋"/>
          <w:color w:val="000000"/>
          <w:spacing w:val="0"/>
          <w:sz w:val="32"/>
          <w:szCs w:val="32"/>
        </w:rPr>
        <w:t>202</w:t>
      </w:r>
      <w:r>
        <w:rPr>
          <w:rFonts w:hint="eastAsia" w:ascii="Times New Roman" w:hAnsi="Times New Roman" w:eastAsia="仿宋_GB2312" w:cs="仿宋"/>
          <w:color w:val="000000"/>
          <w:spacing w:val="0"/>
          <w:sz w:val="32"/>
          <w:szCs w:val="32"/>
          <w:lang w:val="en-US" w:eastAsia="zh-CN"/>
        </w:rPr>
        <w:t>4</w:t>
      </w:r>
      <w:r>
        <w:rPr>
          <w:rFonts w:hint="eastAsia" w:ascii="Times New Roman" w:hAnsi="Times New Roman" w:eastAsia="仿宋_GB2312" w:cs="仿宋"/>
          <w:color w:val="000000"/>
          <w:spacing w:val="0"/>
          <w:sz w:val="32"/>
          <w:szCs w:val="32"/>
        </w:rPr>
        <w:t>年度上级转移支付资金较202</w:t>
      </w:r>
      <w:r>
        <w:rPr>
          <w:rFonts w:hint="eastAsia" w:ascii="Times New Roman" w:hAnsi="Times New Roman" w:eastAsia="仿宋_GB2312" w:cs="仿宋"/>
          <w:color w:val="000000"/>
          <w:spacing w:val="0"/>
          <w:sz w:val="32"/>
          <w:szCs w:val="32"/>
          <w:lang w:val="en-US" w:eastAsia="zh-CN"/>
        </w:rPr>
        <w:t>3</w:t>
      </w:r>
      <w:r>
        <w:rPr>
          <w:rFonts w:hint="eastAsia" w:ascii="Times New Roman" w:hAnsi="Times New Roman" w:eastAsia="仿宋_GB2312" w:cs="仿宋"/>
          <w:color w:val="000000"/>
          <w:spacing w:val="0"/>
          <w:sz w:val="32"/>
          <w:szCs w:val="32"/>
        </w:rPr>
        <w:t>年度有所</w:t>
      </w:r>
      <w:r>
        <w:rPr>
          <w:rFonts w:hint="eastAsia" w:ascii="Times New Roman" w:hAnsi="Times New Roman" w:eastAsia="仿宋_GB2312" w:cs="仿宋"/>
          <w:color w:val="000000"/>
          <w:spacing w:val="0"/>
          <w:sz w:val="32"/>
          <w:szCs w:val="32"/>
          <w:lang w:eastAsia="zh-CN"/>
        </w:rPr>
        <w:t>减少。</w:t>
      </w:r>
    </w:p>
    <w:p w14:paraId="655B298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685BC1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val="en-US" w:eastAsia="zh-CN"/>
        </w:rPr>
        <w:t>卫生健康（类）支出826.9万元，占99.98%。</w:t>
      </w:r>
    </w:p>
    <w:p w14:paraId="21EB2E2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124D6C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828.11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99.87</w:t>
      </w:r>
      <w:r>
        <w:rPr>
          <w:rFonts w:ascii="Times New Roman" w:hAnsi="Times New Roman" w:eastAsia="仿宋_GB2312" w:cs="Times New Roman"/>
          <w:sz w:val="32"/>
          <w:szCs w:val="32"/>
        </w:rPr>
        <w:t>%，其中：</w:t>
      </w:r>
    </w:p>
    <w:p w14:paraId="086FF54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1、一般公共服务（类</w:t>
      </w:r>
      <w:r>
        <w:rPr>
          <w:rFonts w:hint="eastAsia" w:ascii="Times New Roman" w:hAnsi="Times New Roman" w:eastAsia="仿宋_GB2312"/>
          <w:spacing w:val="0"/>
          <w:sz w:val="32"/>
          <w:szCs w:val="32"/>
          <w:lang w:val="en-US" w:eastAsia="zh-CN"/>
        </w:rPr>
        <w:t>201</w:t>
      </w:r>
      <w:r>
        <w:rPr>
          <w:rFonts w:hint="eastAsia" w:ascii="Times New Roman" w:hAnsi="Times New Roman" w:eastAsia="仿宋_GB2312"/>
          <w:spacing w:val="0"/>
          <w:sz w:val="32"/>
          <w:szCs w:val="32"/>
        </w:rPr>
        <w:t>）其他一般公共服务支出（款</w:t>
      </w:r>
      <w:r>
        <w:rPr>
          <w:rFonts w:hint="eastAsia" w:ascii="Times New Roman" w:hAnsi="Times New Roman" w:eastAsia="仿宋_GB2312"/>
          <w:spacing w:val="0"/>
          <w:sz w:val="32"/>
          <w:szCs w:val="32"/>
          <w:lang w:val="en-US" w:eastAsia="zh-CN"/>
        </w:rPr>
        <w:t>20199</w:t>
      </w:r>
      <w:r>
        <w:rPr>
          <w:rFonts w:hint="eastAsia" w:ascii="Times New Roman" w:hAnsi="Times New Roman" w:eastAsia="仿宋_GB2312"/>
          <w:spacing w:val="0"/>
          <w:sz w:val="32"/>
          <w:szCs w:val="32"/>
        </w:rPr>
        <w:t>）其他一般公共服务支出（项</w:t>
      </w:r>
      <w:r>
        <w:rPr>
          <w:rFonts w:hint="eastAsia" w:ascii="Times New Roman" w:hAnsi="Times New Roman" w:eastAsia="仿宋_GB2312"/>
          <w:spacing w:val="0"/>
          <w:sz w:val="32"/>
          <w:szCs w:val="32"/>
          <w:lang w:val="en-US" w:eastAsia="zh-CN"/>
        </w:rPr>
        <w:t>2019999</w:t>
      </w:r>
      <w:r>
        <w:rPr>
          <w:rFonts w:hint="eastAsia" w:ascii="Times New Roman" w:hAnsi="Times New Roman" w:eastAsia="仿宋_GB2312"/>
          <w:spacing w:val="0"/>
          <w:sz w:val="32"/>
          <w:szCs w:val="32"/>
        </w:rPr>
        <w:t>）。</w:t>
      </w:r>
    </w:p>
    <w:p w14:paraId="4491E4BE">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0.15</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0.15</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026789F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2、</w:t>
      </w:r>
      <w:r>
        <w:rPr>
          <w:rFonts w:hint="eastAsia" w:ascii="Times New Roman" w:hAnsi="Times New Roman" w:eastAsia="仿宋_GB2312"/>
          <w:spacing w:val="0"/>
          <w:sz w:val="32"/>
          <w:szCs w:val="32"/>
        </w:rPr>
        <w:t>卫生健康支出（类</w:t>
      </w:r>
      <w:r>
        <w:rPr>
          <w:rFonts w:hint="eastAsia" w:ascii="Times New Roman" w:hAnsi="Times New Roman" w:eastAsia="仿宋_GB2312"/>
          <w:spacing w:val="0"/>
          <w:sz w:val="32"/>
          <w:szCs w:val="32"/>
          <w:lang w:val="en-US" w:eastAsia="zh-CN"/>
        </w:rPr>
        <w:t>210</w:t>
      </w:r>
      <w:r>
        <w:rPr>
          <w:rFonts w:hint="eastAsia" w:ascii="Times New Roman" w:hAnsi="Times New Roman" w:eastAsia="仿宋_GB2312"/>
          <w:spacing w:val="0"/>
          <w:sz w:val="32"/>
          <w:szCs w:val="32"/>
        </w:rPr>
        <w:t>）医疗保障管理事务（款</w:t>
      </w:r>
      <w:r>
        <w:rPr>
          <w:rFonts w:hint="eastAsia" w:ascii="Times New Roman" w:hAnsi="Times New Roman" w:eastAsia="仿宋_GB2312"/>
          <w:spacing w:val="0"/>
          <w:sz w:val="32"/>
          <w:szCs w:val="32"/>
          <w:lang w:val="en-US" w:eastAsia="zh-CN"/>
        </w:rPr>
        <w:t>21015</w:t>
      </w:r>
      <w:r>
        <w:rPr>
          <w:rFonts w:hint="eastAsia" w:ascii="Times New Roman" w:hAnsi="Times New Roman" w:eastAsia="仿宋_GB2312"/>
          <w:spacing w:val="0"/>
          <w:sz w:val="32"/>
          <w:szCs w:val="32"/>
        </w:rPr>
        <w:t>）医疗保障政策管理（项</w:t>
      </w:r>
      <w:r>
        <w:rPr>
          <w:rFonts w:hint="eastAsia" w:ascii="Times New Roman" w:hAnsi="Times New Roman" w:eastAsia="仿宋_GB2312"/>
          <w:spacing w:val="0"/>
          <w:sz w:val="32"/>
          <w:szCs w:val="32"/>
          <w:lang w:val="en-US" w:eastAsia="zh-CN"/>
        </w:rPr>
        <w:t>2101505</w:t>
      </w:r>
      <w:r>
        <w:rPr>
          <w:rFonts w:hint="eastAsia" w:ascii="Times New Roman" w:hAnsi="Times New Roman" w:eastAsia="仿宋_GB2312"/>
          <w:spacing w:val="0"/>
          <w:sz w:val="32"/>
          <w:szCs w:val="32"/>
        </w:rPr>
        <w:t>）。</w:t>
      </w:r>
    </w:p>
    <w:p w14:paraId="76D9158F">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136.01</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136.01</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15FF34C5">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卫生健康支出（类</w:t>
      </w:r>
      <w:r>
        <w:rPr>
          <w:rFonts w:hint="eastAsia" w:ascii="Times New Roman" w:hAnsi="Times New Roman" w:eastAsia="仿宋_GB2312"/>
          <w:spacing w:val="0"/>
          <w:sz w:val="32"/>
          <w:szCs w:val="32"/>
          <w:lang w:val="en-US" w:eastAsia="zh-CN"/>
        </w:rPr>
        <w:t>210</w:t>
      </w:r>
      <w:r>
        <w:rPr>
          <w:rFonts w:hint="eastAsia" w:ascii="Times New Roman" w:hAnsi="Times New Roman" w:eastAsia="仿宋_GB2312"/>
          <w:spacing w:val="0"/>
          <w:sz w:val="32"/>
          <w:szCs w:val="32"/>
        </w:rPr>
        <w:t>）医疗保障管理事务（款</w:t>
      </w:r>
      <w:r>
        <w:rPr>
          <w:rFonts w:hint="eastAsia" w:ascii="Times New Roman" w:hAnsi="Times New Roman" w:eastAsia="仿宋_GB2312"/>
          <w:spacing w:val="0"/>
          <w:sz w:val="32"/>
          <w:szCs w:val="32"/>
          <w:lang w:val="en-US" w:eastAsia="zh-CN"/>
        </w:rPr>
        <w:t>21015</w:t>
      </w:r>
      <w:r>
        <w:rPr>
          <w:rFonts w:hint="eastAsia" w:ascii="Times New Roman" w:hAnsi="Times New Roman" w:eastAsia="仿宋_GB2312"/>
          <w:spacing w:val="0"/>
          <w:sz w:val="32"/>
          <w:szCs w:val="32"/>
        </w:rPr>
        <w:t>）其他医疗保障管理事务支出（项</w:t>
      </w:r>
      <w:r>
        <w:rPr>
          <w:rFonts w:hint="eastAsia" w:ascii="Times New Roman" w:hAnsi="Times New Roman" w:eastAsia="仿宋_GB2312"/>
          <w:spacing w:val="0"/>
          <w:sz w:val="32"/>
          <w:szCs w:val="32"/>
          <w:lang w:val="en-US" w:eastAsia="zh-CN"/>
        </w:rPr>
        <w:t>2101599</w:t>
      </w:r>
      <w:r>
        <w:rPr>
          <w:rFonts w:hint="eastAsia" w:ascii="Times New Roman" w:hAnsi="Times New Roman" w:eastAsia="仿宋_GB2312"/>
          <w:spacing w:val="0"/>
          <w:sz w:val="32"/>
          <w:szCs w:val="32"/>
        </w:rPr>
        <w:t>）。</w:t>
      </w:r>
    </w:p>
    <w:p w14:paraId="5E89657F">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691.95</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690.89</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99.85</w:t>
      </w:r>
      <w:r>
        <w:rPr>
          <w:rFonts w:hint="eastAsia" w:ascii="Times New Roman" w:hAnsi="Times New Roman" w:eastAsia="仿宋_GB2312"/>
          <w:spacing w:val="0"/>
          <w:sz w:val="32"/>
          <w:szCs w:val="32"/>
        </w:rPr>
        <w:t>%，决算数</w:t>
      </w:r>
      <w:r>
        <w:rPr>
          <w:rFonts w:hint="eastAsia" w:ascii="Times New Roman" w:hAnsi="Times New Roman" w:eastAsia="仿宋_GB2312"/>
          <w:spacing w:val="0"/>
          <w:sz w:val="32"/>
          <w:szCs w:val="32"/>
          <w:lang w:eastAsia="zh-CN"/>
        </w:rPr>
        <w:t>小</w:t>
      </w:r>
      <w:r>
        <w:rPr>
          <w:rFonts w:hint="eastAsia" w:ascii="Times New Roman" w:hAnsi="Times New Roman" w:eastAsia="仿宋_GB2312"/>
          <w:spacing w:val="0"/>
          <w:sz w:val="32"/>
          <w:szCs w:val="32"/>
        </w:rPr>
        <w:t>于年初预算，我局严格按预算执行，厉行节约，发挥财政拨款应有的作用。</w:t>
      </w:r>
    </w:p>
    <w:p w14:paraId="20C6D6C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FFADCD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325.28</w:t>
      </w:r>
      <w:r>
        <w:rPr>
          <w:rFonts w:ascii="Times New Roman" w:hAnsi="Times New Roman" w:eastAsia="仿宋_GB2312" w:cs="Times New Roman"/>
          <w:sz w:val="32"/>
          <w:szCs w:val="32"/>
        </w:rPr>
        <w:t>万元，其中：</w:t>
      </w:r>
    </w:p>
    <w:p w14:paraId="250DD11B">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b/>
          <w:bCs/>
          <w:spacing w:val="0"/>
          <w:sz w:val="32"/>
          <w:szCs w:val="32"/>
        </w:rPr>
        <w:t>人员经费</w:t>
      </w:r>
      <w:r>
        <w:rPr>
          <w:rFonts w:hint="eastAsia" w:ascii="Times New Roman" w:hAnsi="Times New Roman" w:eastAsia="仿宋_GB2312"/>
          <w:spacing w:val="0"/>
          <w:sz w:val="32"/>
          <w:szCs w:val="32"/>
          <w:lang w:val="en-US" w:eastAsia="zh-CN"/>
        </w:rPr>
        <w:t>286.3</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88.02</w:t>
      </w:r>
      <w:r>
        <w:rPr>
          <w:rFonts w:hint="eastAsia" w:ascii="Times New Roman" w:hAnsi="Times New Roman" w:eastAsia="仿宋_GB2312"/>
          <w:spacing w:val="0"/>
          <w:sz w:val="32"/>
          <w:szCs w:val="32"/>
        </w:rPr>
        <w:t>%,主要包括基本工资</w:t>
      </w:r>
      <w:r>
        <w:rPr>
          <w:rFonts w:hint="eastAsia" w:ascii="Times New Roman" w:hAnsi="Times New Roman" w:eastAsia="仿宋_GB2312"/>
          <w:spacing w:val="0"/>
          <w:sz w:val="32"/>
          <w:szCs w:val="32"/>
          <w:lang w:val="en-US" w:eastAsia="zh-CN"/>
        </w:rPr>
        <w:t>45.04万元</w:t>
      </w:r>
      <w:r>
        <w:rPr>
          <w:rFonts w:hint="eastAsia" w:ascii="Times New Roman" w:hAnsi="Times New Roman" w:eastAsia="仿宋_GB2312"/>
          <w:spacing w:val="0"/>
          <w:sz w:val="32"/>
          <w:szCs w:val="32"/>
        </w:rPr>
        <w:t>、津贴补贴</w:t>
      </w:r>
      <w:r>
        <w:rPr>
          <w:rFonts w:hint="eastAsia" w:ascii="Times New Roman" w:hAnsi="Times New Roman" w:eastAsia="仿宋_GB2312"/>
          <w:spacing w:val="0"/>
          <w:sz w:val="32"/>
          <w:szCs w:val="32"/>
          <w:lang w:val="en-US" w:eastAsia="zh-CN"/>
        </w:rPr>
        <w:t>51.47万元</w:t>
      </w:r>
      <w:r>
        <w:rPr>
          <w:rFonts w:hint="eastAsia" w:ascii="Times New Roman" w:hAnsi="Times New Roman" w:eastAsia="仿宋_GB2312"/>
          <w:spacing w:val="0"/>
          <w:sz w:val="32"/>
          <w:szCs w:val="32"/>
        </w:rPr>
        <w:t>、奖金</w:t>
      </w:r>
      <w:r>
        <w:rPr>
          <w:rFonts w:hint="eastAsia" w:ascii="Times New Roman" w:hAnsi="Times New Roman" w:eastAsia="仿宋_GB2312"/>
          <w:spacing w:val="0"/>
          <w:sz w:val="32"/>
          <w:szCs w:val="32"/>
          <w:lang w:val="en-US" w:eastAsia="zh-CN"/>
        </w:rPr>
        <w:t>25.48万元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eastAsia="zh-CN"/>
        </w:rPr>
        <w:t>绩效工资</w:t>
      </w:r>
      <w:r>
        <w:rPr>
          <w:rFonts w:hint="eastAsia" w:ascii="Times New Roman" w:hAnsi="Times New Roman" w:eastAsia="仿宋_GB2312"/>
          <w:spacing w:val="0"/>
          <w:sz w:val="32"/>
          <w:szCs w:val="32"/>
          <w:lang w:val="en-US" w:eastAsia="zh-CN"/>
        </w:rPr>
        <w:t>39.86万元、机关事业单位基本养老保险缴费45.22万元、职业年金9.14万元、职工基本医疗保险缴费14.6万元、其他社会保障缴费1.75万元、住房公积金51.12万元、其他工资福利支出2.06万元、生活补助0.37万元、奖励金0.18万元。</w:t>
      </w:r>
    </w:p>
    <w:p w14:paraId="007D19A3">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公用经费</w:t>
      </w:r>
      <w:r>
        <w:rPr>
          <w:rFonts w:hint="eastAsia" w:ascii="Times New Roman" w:hAnsi="Times New Roman" w:eastAsia="仿宋_GB2312"/>
          <w:spacing w:val="0"/>
          <w:sz w:val="32"/>
          <w:szCs w:val="32"/>
          <w:lang w:val="en-US" w:eastAsia="zh-CN"/>
        </w:rPr>
        <w:t>38.98</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11.98</w:t>
      </w:r>
      <w:r>
        <w:rPr>
          <w:rFonts w:hint="eastAsia" w:ascii="Times New Roman" w:hAnsi="Times New Roman" w:eastAsia="仿宋_GB2312"/>
          <w:spacing w:val="0"/>
          <w:sz w:val="32"/>
          <w:szCs w:val="32"/>
        </w:rPr>
        <w:t>%，主要包括办公费</w:t>
      </w:r>
      <w:r>
        <w:rPr>
          <w:rFonts w:hint="eastAsia" w:ascii="Times New Roman" w:hAnsi="Times New Roman" w:eastAsia="仿宋_GB2312"/>
          <w:spacing w:val="0"/>
          <w:sz w:val="32"/>
          <w:szCs w:val="32"/>
          <w:lang w:val="en-US" w:eastAsia="zh-CN"/>
        </w:rPr>
        <w:t>0.1万元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工会经费20.44万元、福利费0.3万元、其他交通费用17.57万元、其他商品和服务支出0.57</w:t>
      </w:r>
      <w:r>
        <w:rPr>
          <w:rFonts w:hint="eastAsia" w:ascii="Times New Roman" w:hAnsi="Times New Roman" w:eastAsia="仿宋_GB2312"/>
          <w:spacing w:val="0"/>
          <w:sz w:val="32"/>
          <w:szCs w:val="32"/>
        </w:rPr>
        <w:t>。</w:t>
      </w:r>
    </w:p>
    <w:p w14:paraId="463324E5">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126B35F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B79070B">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85.37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10.98</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eastAsia="zh-CN"/>
        </w:rPr>
        <w:t>决算数小于上年数的</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我单位本着厉行节约的原则，严格控制三公经费。</w:t>
      </w:r>
    </w:p>
    <w:p w14:paraId="1A55C3E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8C1915A">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我局没有因公出国（境）工作，该项资金没有发生额。</w:t>
      </w:r>
    </w:p>
    <w:p w14:paraId="1230B02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spacing w:val="0"/>
          <w:sz w:val="32"/>
          <w:szCs w:val="32"/>
          <w:lang w:eastAsia="zh-CN"/>
        </w:rPr>
        <w:t>决算数小于上年数的</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我单位本着厉行节约的原则，严格控制三公经费。</w:t>
      </w:r>
      <w:r>
        <w:rPr>
          <w:rFonts w:ascii="Times New Roman" w:hAnsi="Times New Roman" w:eastAsia="仿宋_GB2312" w:cs="Times New Roman"/>
          <w:sz w:val="32"/>
          <w:szCs w:val="32"/>
        </w:rPr>
        <w:t>其中：</w:t>
      </w:r>
    </w:p>
    <w:p w14:paraId="593D9B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本年没有安排该项预算支出。</w:t>
      </w:r>
      <w:r>
        <w:rPr>
          <w:rFonts w:hint="eastAsia" w:ascii="Times New Roman" w:hAnsi="Times New Roman" w:eastAsia="仿宋_GB2312"/>
          <w:spacing w:val="0"/>
          <w:sz w:val="32"/>
          <w:szCs w:val="32"/>
          <w:lang w:val="en-US" w:eastAsia="zh-CN"/>
        </w:rPr>
        <w:t>较上年度没有变化。</w:t>
      </w:r>
    </w:p>
    <w:p w14:paraId="6A8CD8E9">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5.96</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车辆加油、维修、驾车安全奖、过路过过桥费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99.33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w:t>
      </w:r>
      <w:r>
        <w:rPr>
          <w:rFonts w:hint="eastAsia" w:ascii="Times New Roman" w:hAnsi="Times New Roman" w:eastAsia="仿宋_GB2312"/>
          <w:spacing w:val="0"/>
          <w:sz w:val="32"/>
          <w:szCs w:val="32"/>
          <w:lang w:eastAsia="zh-CN"/>
        </w:rPr>
        <w:t>决算数小于上年数的主要</w:t>
      </w:r>
      <w:r>
        <w:rPr>
          <w:rFonts w:hint="eastAsia" w:ascii="Times New Roman" w:hAnsi="Times New Roman" w:eastAsia="仿宋_GB2312"/>
          <w:spacing w:val="0"/>
          <w:sz w:val="32"/>
          <w:szCs w:val="32"/>
          <w:lang w:val="en-US" w:eastAsia="zh-CN"/>
        </w:rPr>
        <w:t>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公务用车运行维护费</w:t>
      </w:r>
      <w:r>
        <w:rPr>
          <w:rFonts w:hint="eastAsia" w:ascii="Times New Roman" w:hAnsi="Times New Roman" w:eastAsia="仿宋_GB2312"/>
          <w:spacing w:val="0"/>
          <w:sz w:val="32"/>
          <w:szCs w:val="32"/>
        </w:rPr>
        <w:t>的开支。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4E22BEF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61.43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0.83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27.85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公务接待费</w:t>
      </w:r>
      <w:r>
        <w:rPr>
          <w:rFonts w:hint="eastAsia" w:ascii="Times New Roman" w:hAnsi="Times New Roman" w:eastAsia="仿宋_GB2312"/>
          <w:spacing w:val="0"/>
          <w:sz w:val="32"/>
          <w:szCs w:val="32"/>
        </w:rPr>
        <w:t>的开支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公务接待费</w:t>
      </w:r>
      <w:r>
        <w:rPr>
          <w:rFonts w:hint="eastAsia" w:ascii="Times New Roman" w:hAnsi="Times New Roman" w:eastAsia="仿宋_GB2312"/>
          <w:spacing w:val="0"/>
          <w:sz w:val="32"/>
          <w:szCs w:val="32"/>
        </w:rPr>
        <w:t>的开支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145</w:t>
      </w:r>
      <w:r>
        <w:rPr>
          <w:rFonts w:ascii="Times New Roman" w:hAnsi="Times New Roman" w:eastAsia="仿宋_GB2312" w:cs="Times New Roman"/>
          <w:sz w:val="32"/>
          <w:szCs w:val="32"/>
        </w:rPr>
        <w:t>人次，</w:t>
      </w:r>
      <w:r>
        <w:rPr>
          <w:rFonts w:hint="eastAsia" w:ascii="Times New Roman" w:hAnsi="Times New Roman" w:eastAsia="仿宋_GB2312"/>
          <w:spacing w:val="0"/>
          <w:sz w:val="32"/>
          <w:szCs w:val="32"/>
        </w:rPr>
        <w:t>主要是对接公务发生的接待支出</w:t>
      </w:r>
      <w:r>
        <w:rPr>
          <w:rFonts w:ascii="Times New Roman" w:hAnsi="Times New Roman" w:eastAsia="仿宋_GB2312" w:cs="Times New Roman"/>
          <w:sz w:val="32"/>
          <w:szCs w:val="32"/>
        </w:rPr>
        <w:t>。</w:t>
      </w:r>
    </w:p>
    <w:p w14:paraId="4ABF069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D982DAA">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本单位无政府性基金预算收入支出。</w:t>
      </w:r>
    </w:p>
    <w:p w14:paraId="7DBD7061">
      <w:pPr>
        <w:pStyle w:val="13"/>
        <w:keepNext w:val="0"/>
        <w:keepLines w:val="0"/>
        <w:pageBreakBefore w:val="0"/>
        <w:widowControl w:val="0"/>
        <w:numPr>
          <w:ilvl w:val="0"/>
          <w:numId w:val="0"/>
        </w:numPr>
        <w:kinsoku/>
        <w:wordWrap/>
        <w:overflowPunct/>
        <w:topLinePunct w:val="0"/>
        <w:autoSpaceDE/>
        <w:autoSpaceDN/>
        <w:bidi w:val="0"/>
        <w:snapToGrid/>
        <w:spacing w:afterAutospacing="0" w:line="620" w:lineRule="exact"/>
        <w:ind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cs="黑体"/>
          <w:b w:val="0"/>
          <w:bCs/>
          <w:spacing w:val="0"/>
          <w:sz w:val="32"/>
          <w:szCs w:val="32"/>
          <w:lang w:val="en-US" w:eastAsia="zh-CN"/>
        </w:rPr>
        <w:t>九、</w:t>
      </w:r>
      <w:r>
        <w:rPr>
          <w:rFonts w:hint="eastAsia" w:ascii="Times New Roman" w:hAnsi="Times New Roman" w:eastAsia="黑体" w:cs="黑体"/>
          <w:b w:val="0"/>
          <w:bCs/>
          <w:spacing w:val="0"/>
          <w:sz w:val="32"/>
          <w:szCs w:val="32"/>
        </w:rPr>
        <w:t>国有资本经营预算收入支出决算情况说明</w:t>
      </w:r>
    </w:p>
    <w:p w14:paraId="3DF885AC">
      <w:pPr>
        <w:pStyle w:val="13"/>
        <w:keepNext w:val="0"/>
        <w:keepLines w:val="0"/>
        <w:pageBreakBefore w:val="0"/>
        <w:widowControl w:val="0"/>
        <w:kinsoku/>
        <w:wordWrap/>
        <w:overflowPunct/>
        <w:topLinePunct w:val="0"/>
        <w:autoSpaceDE/>
        <w:autoSpaceDN/>
        <w:bidi w:val="0"/>
        <w:snapToGrid/>
        <w:spacing w:afterAutospacing="0" w:line="620" w:lineRule="exact"/>
        <w:ind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本单位无政府性基金预算收入支出。</w:t>
      </w:r>
    </w:p>
    <w:p w14:paraId="55CF588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42C0F2DC">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38.98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相等。</w:t>
      </w:r>
      <w:r>
        <w:rPr>
          <w:rFonts w:hint="eastAsia" w:ascii="Times New Roman" w:hAnsi="Times New Roman" w:eastAsia="仿宋_GB2312"/>
          <w:spacing w:val="0"/>
          <w:sz w:val="32"/>
          <w:szCs w:val="32"/>
        </w:rPr>
        <w:t>比上年决算数增加</w:t>
      </w:r>
      <w:r>
        <w:rPr>
          <w:rFonts w:hint="eastAsia" w:ascii="Times New Roman" w:hAnsi="Times New Roman" w:eastAsia="仿宋_GB2312"/>
          <w:spacing w:val="0"/>
          <w:sz w:val="32"/>
          <w:szCs w:val="32"/>
          <w:lang w:val="en-US" w:eastAsia="zh-CN"/>
        </w:rPr>
        <w:t>1.59</w:t>
      </w:r>
      <w:r>
        <w:rPr>
          <w:rFonts w:hint="eastAsia" w:ascii="Times New Roman" w:hAnsi="Times New Roman" w:eastAsia="仿宋_GB2312"/>
          <w:spacing w:val="0"/>
          <w:sz w:val="32"/>
          <w:szCs w:val="32"/>
        </w:rPr>
        <w:t>万元，</w:t>
      </w:r>
      <w:r>
        <w:rPr>
          <w:rFonts w:hint="eastAsia" w:ascii="Times New Roman" w:hAnsi="Times New Roman" w:eastAsia="仿宋_GB2312"/>
          <w:spacing w:val="0"/>
          <w:sz w:val="32"/>
          <w:szCs w:val="32"/>
          <w:lang w:eastAsia="zh-CN"/>
        </w:rPr>
        <w:t>下降</w:t>
      </w:r>
      <w:r>
        <w:rPr>
          <w:rFonts w:hint="eastAsia" w:ascii="Times New Roman" w:hAnsi="Times New Roman" w:eastAsia="仿宋_GB2312"/>
          <w:spacing w:val="0"/>
          <w:sz w:val="32"/>
          <w:szCs w:val="32"/>
          <w:lang w:val="en-US" w:eastAsia="zh-CN"/>
        </w:rPr>
        <w:t>3.92</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用公用经费支付的办公费、工会经费有所减少。</w:t>
      </w:r>
    </w:p>
    <w:p w14:paraId="18F5E8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44C4F7BA">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4.87</w:t>
      </w:r>
      <w:r>
        <w:rPr>
          <w:rFonts w:ascii="Times New Roman" w:hAnsi="Times New Roman" w:eastAsia="仿宋_GB2312" w:cs="Times New Roman"/>
          <w:sz w:val="32"/>
          <w:szCs w:val="32"/>
        </w:rPr>
        <w:t>万元，</w:t>
      </w:r>
      <w:r>
        <w:rPr>
          <w:rFonts w:hint="eastAsia" w:ascii="Times New Roman" w:hAnsi="Times New Roman" w:eastAsia="仿宋_GB2312"/>
          <w:spacing w:val="0"/>
          <w:sz w:val="32"/>
          <w:szCs w:val="32"/>
        </w:rPr>
        <w:t>用于召开</w:t>
      </w:r>
      <w:r>
        <w:rPr>
          <w:rFonts w:hint="eastAsia" w:ascii="Times New Roman" w:hAnsi="Times New Roman" w:eastAsia="仿宋_GB2312"/>
          <w:spacing w:val="0"/>
          <w:sz w:val="32"/>
          <w:szCs w:val="32"/>
          <w:lang w:val="en-US" w:eastAsia="zh-CN"/>
        </w:rPr>
        <w:t>全市医保工作</w:t>
      </w:r>
      <w:r>
        <w:rPr>
          <w:rFonts w:hint="eastAsia" w:ascii="Times New Roman" w:hAnsi="Times New Roman" w:eastAsia="仿宋_GB2312"/>
          <w:spacing w:val="0"/>
          <w:sz w:val="32"/>
          <w:szCs w:val="32"/>
        </w:rPr>
        <w:t>会议，人数</w:t>
      </w:r>
      <w:r>
        <w:rPr>
          <w:rFonts w:hint="eastAsia" w:ascii="Times New Roman" w:hAnsi="Times New Roman" w:eastAsia="仿宋_GB2312"/>
          <w:spacing w:val="0"/>
          <w:sz w:val="32"/>
          <w:szCs w:val="32"/>
          <w:lang w:val="en-US" w:eastAsia="zh-CN"/>
        </w:rPr>
        <w:t>27</w:t>
      </w:r>
      <w:r>
        <w:rPr>
          <w:rFonts w:hint="eastAsia" w:ascii="Times New Roman" w:hAnsi="Times New Roman" w:eastAsia="仿宋_GB2312"/>
          <w:spacing w:val="0"/>
          <w:sz w:val="32"/>
          <w:szCs w:val="32"/>
        </w:rPr>
        <w:t>人，</w:t>
      </w:r>
      <w:r>
        <w:rPr>
          <w:rFonts w:hint="eastAsia" w:ascii="Times New Roman" w:hAnsi="Times New Roman" w:eastAsia="仿宋_GB2312"/>
          <w:spacing w:val="0"/>
          <w:sz w:val="32"/>
          <w:szCs w:val="32"/>
          <w:lang w:val="en-US" w:eastAsia="zh-CN"/>
        </w:rPr>
        <w:t>内容为2022年全市医疗保障工作总结、安排2023年度下半年工作；“两市一州”联席会议，人数68人，内容为毗邻区域跨省异地就医基金监管协作磋商会务费；全市医保系统廉政工作会议，人数38人，内容为全市医保工作暨群众身边不正之风和腐败问题集中整治工作推进会。全市大抓落实调研会，人数29人，内容为部署全市大抓落实激励，布置落实际报销比、目录外占比等相关工相关工作；（2）</w:t>
      </w:r>
      <w:r>
        <w:rPr>
          <w:rFonts w:hint="eastAsia" w:ascii="Times New Roman" w:hAnsi="Times New Roman" w:eastAsia="仿宋_GB2312"/>
          <w:spacing w:val="0"/>
          <w:sz w:val="32"/>
          <w:szCs w:val="32"/>
        </w:rPr>
        <w:t>开支培训费</w:t>
      </w:r>
      <w:r>
        <w:rPr>
          <w:rFonts w:hint="eastAsia" w:ascii="Times New Roman" w:hAnsi="Times New Roman" w:eastAsia="仿宋_GB2312"/>
          <w:spacing w:val="0"/>
          <w:sz w:val="32"/>
          <w:szCs w:val="32"/>
          <w:lang w:val="en-US" w:eastAsia="zh-CN"/>
        </w:rPr>
        <w:t>16.03</w:t>
      </w:r>
      <w:r>
        <w:rPr>
          <w:rFonts w:hint="eastAsia" w:ascii="Times New Roman" w:hAnsi="Times New Roman" w:eastAsia="仿宋_GB2312"/>
          <w:spacing w:val="0"/>
          <w:sz w:val="32"/>
          <w:szCs w:val="32"/>
        </w:rPr>
        <w:t>万元，用于开展</w:t>
      </w:r>
      <w:r>
        <w:rPr>
          <w:rFonts w:hint="eastAsia" w:ascii="Times New Roman" w:hAnsi="Times New Roman" w:eastAsia="仿宋_GB2312"/>
          <w:spacing w:val="0"/>
          <w:sz w:val="32"/>
          <w:szCs w:val="32"/>
          <w:lang w:val="en-US" w:eastAsia="zh-CN"/>
        </w:rPr>
        <w:t>能力提升工作</w:t>
      </w:r>
      <w:r>
        <w:rPr>
          <w:rFonts w:hint="eastAsia" w:ascii="Times New Roman" w:hAnsi="Times New Roman" w:eastAsia="仿宋_GB2312"/>
          <w:spacing w:val="0"/>
          <w:sz w:val="32"/>
          <w:szCs w:val="32"/>
        </w:rPr>
        <w:t>培训，人数</w:t>
      </w:r>
      <w:r>
        <w:rPr>
          <w:rFonts w:hint="eastAsia" w:ascii="Times New Roman" w:hAnsi="Times New Roman" w:eastAsia="仿宋_GB2312"/>
          <w:spacing w:val="0"/>
          <w:sz w:val="32"/>
          <w:szCs w:val="32"/>
          <w:lang w:val="en-US" w:eastAsia="zh-CN"/>
        </w:rPr>
        <w:t>41</w:t>
      </w:r>
      <w:r>
        <w:rPr>
          <w:rFonts w:hint="eastAsia" w:ascii="Times New Roman" w:hAnsi="Times New Roman" w:eastAsia="仿宋_GB2312"/>
          <w:spacing w:val="0"/>
          <w:sz w:val="32"/>
          <w:szCs w:val="32"/>
        </w:rPr>
        <w:t>人，内容为</w:t>
      </w:r>
      <w:r>
        <w:rPr>
          <w:rFonts w:hint="eastAsia" w:ascii="Times New Roman" w:hAnsi="Times New Roman" w:eastAsia="仿宋_GB2312"/>
          <w:spacing w:val="0"/>
          <w:sz w:val="32"/>
          <w:szCs w:val="32"/>
          <w:lang w:eastAsia="zh-CN"/>
        </w:rPr>
        <w:t>全市政务系统和新闻报道</w:t>
      </w:r>
      <w:r>
        <w:rPr>
          <w:rFonts w:hint="eastAsia" w:ascii="Times New Roman" w:hAnsi="Times New Roman" w:eastAsia="仿宋_GB2312"/>
          <w:spacing w:val="0"/>
          <w:sz w:val="32"/>
          <w:szCs w:val="32"/>
          <w:lang w:val="en-US" w:eastAsia="zh-CN"/>
        </w:rPr>
        <w:t>工作人员能力提升培训；怀化市DIP政策培训，人数26人，内容为开展DIP政策和年度考核培训；征缴扩面工作培训，人数29人，内容为人市城乡居民征缴扩面暨参保业务培训；职工门诊济工作培训，人数43人，内容为职工医保门诊共济保障改革工作培训；事业单位工作人员培训，人数6人，内容为事业单位工作人员线上培训；通讯员培训，人数2人，内容为怀化日报社通讯员培训班培训；经办检查培训，人数32人，</w:t>
      </w:r>
      <w:r>
        <w:rPr>
          <w:rFonts w:hint="eastAsia" w:ascii="Times New Roman" w:hAnsi="Times New Roman" w:eastAsia="仿宋_GB2312"/>
          <w:spacing w:val="0"/>
          <w:sz w:val="32"/>
          <w:szCs w:val="32"/>
        </w:rPr>
        <w:t>内容为</w:t>
      </w:r>
      <w:r>
        <w:rPr>
          <w:rFonts w:hint="eastAsia" w:ascii="Times New Roman" w:hAnsi="Times New Roman" w:eastAsia="仿宋_GB2312"/>
          <w:spacing w:val="0"/>
          <w:sz w:val="32"/>
          <w:szCs w:val="32"/>
          <w:lang w:eastAsia="zh-CN"/>
        </w:rPr>
        <w:t>全市医疗保障系统经办机构专项检查培训；信用管理</w:t>
      </w:r>
      <w:r>
        <w:rPr>
          <w:rFonts w:hint="eastAsia" w:ascii="Times New Roman" w:hAnsi="Times New Roman" w:eastAsia="仿宋_GB2312"/>
          <w:spacing w:val="0"/>
          <w:sz w:val="32"/>
          <w:szCs w:val="32"/>
          <w:lang w:val="en-US" w:eastAsia="zh-CN"/>
        </w:rPr>
        <w:t>培训，人数34人，内容为全市医疗保障信用管理培训班培训；医保服务进成家培训，人数90人，内容为全市医保服务进成家活动暨医保政策经办服务、信息化标准等培训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行政执法培训，人数48人，2024年医疗保障行政执法集中培训及2023年医保行政执法案卷评审培训；DIP预算清算培训，人数49人，内容2024年上半年DIP预算清算结果通报暨政策培训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 xml:space="preserve">人大评议培训，人数13人，内容为人大评议培训；医保业务培训，人数114人，内容为全市医保系统业务能力培训。市级统筹业务培训，人数45人，全市市级统筹业务、财务报表、统计报表等培训。 </w:t>
      </w:r>
    </w:p>
    <w:p w14:paraId="29A3D8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13A37BE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77.04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2F54AE0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7DF9E926">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r>
        <w:rPr>
          <w:rFonts w:hint="eastAsia" w:ascii="Times New Roman" w:hAnsi="Times New Roman" w:eastAsia="仿宋_GB2312"/>
          <w:spacing w:val="0"/>
          <w:sz w:val="32"/>
          <w:szCs w:val="32"/>
        </w:rPr>
        <w:t>其中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其他用车</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辆，其他用车主要是</w:t>
      </w:r>
      <w:r>
        <w:rPr>
          <w:rFonts w:hint="eastAsia" w:ascii="Times New Roman" w:hAnsi="Times New Roman" w:eastAsia="仿宋_GB2312"/>
          <w:spacing w:val="0"/>
          <w:sz w:val="32"/>
          <w:szCs w:val="32"/>
          <w:lang w:val="en-US" w:eastAsia="zh-CN"/>
        </w:rPr>
        <w:t>用于单位日常工作派车</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我单位无</w:t>
      </w:r>
      <w:r>
        <w:rPr>
          <w:rFonts w:hint="eastAsia" w:ascii="Times New Roman" w:hAnsi="Times New Roman" w:eastAsia="仿宋_GB2312"/>
          <w:spacing w:val="0"/>
          <w:sz w:val="32"/>
          <w:szCs w:val="32"/>
        </w:rPr>
        <w:t>单位价值100万元以上设备</w:t>
      </w:r>
      <w:r>
        <w:rPr>
          <w:rFonts w:hint="eastAsia" w:ascii="Times New Roman" w:hAnsi="Times New Roman" w:eastAsia="仿宋_GB2312"/>
          <w:spacing w:val="0"/>
          <w:sz w:val="32"/>
          <w:szCs w:val="32"/>
          <w:lang w:eastAsia="zh-CN"/>
        </w:rPr>
        <w:t>（不含车辆）</w:t>
      </w:r>
      <w:r>
        <w:rPr>
          <w:rFonts w:hint="eastAsia" w:ascii="Times New Roman" w:hAnsi="Times New Roman" w:eastAsia="仿宋_GB2312"/>
          <w:spacing w:val="0"/>
          <w:sz w:val="32"/>
          <w:szCs w:val="32"/>
        </w:rPr>
        <w:t>。</w:t>
      </w:r>
    </w:p>
    <w:p w14:paraId="521EF08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73DA5F4">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hint="eastAsia" w:ascii="Times New Roman" w:hAnsi="Times New Roman" w:eastAsia="仿宋_GB2312"/>
          <w:spacing w:val="0"/>
          <w:sz w:val="32"/>
          <w:szCs w:val="32"/>
          <w:lang w:val="en-US" w:eastAsia="zh-CN"/>
        </w:rPr>
        <w:t>根据预算绩效管理要求，我部门组织对2024年度一般公共预算项目支出全面开展绩效自评，共涉及资金501.77万元，占一般公共预算项目支出总额的100%。我单位无政府性基金预算项目支出，无国有资本经营预算项目支出。</w:t>
      </w:r>
    </w:p>
    <w:p w14:paraId="499952E0">
      <w:pPr>
        <w:pStyle w:val="13"/>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spacing w:val="0"/>
          <w:sz w:val="32"/>
          <w:szCs w:val="32"/>
          <w:lang w:val="en-US" w:eastAsia="zh-CN"/>
        </w:rPr>
        <w:t>组织对“医疗保障服务与保障能力提升资金”“基金监管”等5个项目开展了部门评价，涉及一般公共预算支出501.77万元，无政府性基金预算支出，无国有资本经营预算支出。从评价情况来看，2024年我单位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严格执行财政预算评审、招投标、合同签订、过程管理、竣工验收、财政结算评审等程序；费用支出严格按照《财务会计制度》等制度规定的开支范围、标准、审批权限、审批流程、报销要求等进行审核。</w:t>
      </w:r>
    </w:p>
    <w:p w14:paraId="159BE2CA">
      <w:pPr>
        <w:numPr>
          <w:ilvl w:val="0"/>
          <w:numId w:val="1"/>
        </w:numPr>
        <w:ind w:firstLine="755" w:firstLineChars="236"/>
        <w:jc w:val="left"/>
        <w:rPr>
          <w:rFonts w:hint="eastAsia" w:ascii="仿宋" w:hAnsi="仿宋" w:eastAsia="仿宋"/>
          <w:sz w:val="30"/>
          <w:szCs w:val="30"/>
          <w:highlight w:val="none"/>
          <w:lang w:eastAsia="zh-CN"/>
        </w:rPr>
      </w:pPr>
      <w:r>
        <w:rPr>
          <w:rFonts w:ascii="Times New Roman" w:hAnsi="Times New Roman" w:eastAsia="楷体_GB2312" w:cs="Times New Roman"/>
          <w:b/>
          <w:bCs/>
          <w:sz w:val="32"/>
          <w:szCs w:val="32"/>
        </w:rPr>
        <w:t>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828.11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827.05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w:t>
      </w:r>
    </w:p>
    <w:p w14:paraId="2FA70BD1">
      <w:pPr>
        <w:ind w:left="0" w:leftChars="0" w:firstLine="681" w:firstLineChars="213"/>
        <w:rPr>
          <w:rFonts w:ascii="Times New Roman" w:hAnsi="Times New Roman" w:eastAsia="仿宋_GB2312" w:cs="Times New Roman"/>
          <w:bCs/>
          <w:sz w:val="32"/>
          <w:szCs w:val="32"/>
        </w:rPr>
      </w:pPr>
      <w:r>
        <w:rPr>
          <w:rFonts w:ascii="Times New Roman" w:hAnsi="Times New Roman" w:eastAsia="仿宋_GB2312" w:cs="Times New Roman"/>
          <w:sz w:val="32"/>
          <w:szCs w:val="32"/>
        </w:rPr>
        <w:t>绩效目标完成情况</w:t>
      </w:r>
      <w:r>
        <w:rPr>
          <w:rFonts w:ascii="Times New Roman" w:hAnsi="Times New Roman" w:eastAsia="仿宋_GB2312" w:cs="Times New Roman"/>
          <w:b/>
          <w:bCs/>
          <w:sz w:val="32"/>
          <w:szCs w:val="32"/>
        </w:rPr>
        <w:t>：一是</w:t>
      </w:r>
      <w:r>
        <w:rPr>
          <w:rFonts w:ascii="仿宋" w:hAnsi="仿宋" w:eastAsia="仿宋"/>
          <w:b/>
          <w:bCs/>
          <w:sz w:val="30"/>
          <w:szCs w:val="30"/>
          <w:highlight w:val="none"/>
        </w:rPr>
        <w:t>核心目标达成</w:t>
      </w:r>
      <w:r>
        <w:rPr>
          <w:rFonts w:ascii="仿宋" w:hAnsi="仿宋" w:eastAsia="仿宋"/>
          <w:sz w:val="30"/>
          <w:szCs w:val="30"/>
          <w:highlight w:val="none"/>
        </w:rPr>
        <w:t>：</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1）</w:t>
      </w:r>
      <w:r>
        <w:rPr>
          <w:rFonts w:ascii="仿宋" w:hAnsi="仿宋" w:eastAsia="仿宋"/>
          <w:sz w:val="30"/>
          <w:szCs w:val="30"/>
          <w:highlight w:val="none"/>
        </w:rPr>
        <w:t>支付方式改革：DIP支付覆盖全部二级及以上医院，推动紧密型医共体总额付费，医保基金使用效率提升15%，住院次均费用增长率控制在5%以内</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ascii="仿宋" w:hAnsi="仿宋" w:eastAsia="仿宋"/>
          <w:sz w:val="30"/>
          <w:szCs w:val="30"/>
          <w:highlight w:val="none"/>
        </w:rPr>
        <w:t>基金安全：全年追回违规基金及处罚款4623.39万元，智能审核拒付399.14万元，建立跨省监管协作机制，查处异地违规问题97个</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3）</w:t>
      </w:r>
      <w:r>
        <w:rPr>
          <w:rFonts w:ascii="仿宋" w:hAnsi="仿宋" w:eastAsia="仿宋"/>
          <w:sz w:val="30"/>
          <w:szCs w:val="30"/>
          <w:highlight w:val="none"/>
        </w:rPr>
        <w:t>服务优化：</w:t>
      </w:r>
      <w:r>
        <w:rPr>
          <w:rFonts w:hint="eastAsia" w:ascii="仿宋" w:hAnsi="仿宋" w:eastAsia="仿宋"/>
          <w:sz w:val="30"/>
          <w:szCs w:val="30"/>
          <w:highlight w:val="none"/>
          <w:lang w:eastAsia="zh-CN"/>
        </w:rPr>
        <w:t>一是</w:t>
      </w:r>
      <w:r>
        <w:rPr>
          <w:rFonts w:ascii="仿宋" w:hAnsi="仿宋" w:eastAsia="仿宋"/>
          <w:sz w:val="30"/>
          <w:szCs w:val="30"/>
          <w:highlight w:val="none"/>
        </w:rPr>
        <w:t>医保信息平台上线后，对接368家住院医疗机构，异地直接结算率提升至85%，群众办事时间缩短50%，“新医保·心服务”品牌满意度达95.3%</w:t>
      </w:r>
      <w:r>
        <w:rPr>
          <w:rFonts w:hint="eastAsia" w:ascii="仿宋" w:hAnsi="仿宋" w:eastAsia="仿宋"/>
          <w:sz w:val="30"/>
          <w:szCs w:val="30"/>
          <w:highlight w:val="none"/>
          <w:lang w:eastAsia="zh-CN"/>
        </w:rPr>
        <w:t>；二是</w:t>
      </w:r>
      <w:r>
        <w:rPr>
          <w:rFonts w:ascii="仿宋" w:hAnsi="仿宋" w:eastAsia="仿宋"/>
          <w:sz w:val="30"/>
          <w:szCs w:val="30"/>
          <w:highlight w:val="none"/>
        </w:rPr>
        <w:t>超额完成目标：全市医疗监管专项经费上线18类智能审核规则（超预期20%），DIP改革培训1200人次（超预期20%），因强降雨新增3次基金监管应急检查，飞行检查达12次（超预期50%）。</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4）</w:t>
      </w:r>
      <w:r>
        <w:rPr>
          <w:rFonts w:ascii="Times New Roman" w:hAnsi="Times New Roman" w:eastAsia="仿宋_GB2312" w:cs="Times New Roman"/>
          <w:sz w:val="32"/>
          <w:szCs w:val="32"/>
        </w:rPr>
        <w:t>发现的主要问题及原因：一是</w:t>
      </w:r>
      <w:r>
        <w:rPr>
          <w:rFonts w:hint="eastAsia" w:ascii="仿宋" w:hAnsi="仿宋" w:eastAsia="仿宋"/>
          <w:sz w:val="30"/>
          <w:szCs w:val="30"/>
          <w:highlight w:val="none"/>
          <w:lang w:eastAsia="zh-CN"/>
        </w:rPr>
        <w:t>人员编制严重不足</w:t>
      </w:r>
      <w:r>
        <w:rPr>
          <w:rFonts w:ascii="仿宋" w:hAnsi="仿宋" w:eastAsia="仿宋"/>
          <w:sz w:val="30"/>
          <w:szCs w:val="30"/>
          <w:highlight w:val="none"/>
        </w:rPr>
        <w:t>：</w:t>
      </w:r>
      <w:r>
        <w:rPr>
          <w:rFonts w:hint="eastAsia" w:ascii="仿宋" w:hAnsi="仿宋" w:eastAsia="仿宋"/>
          <w:sz w:val="30"/>
          <w:szCs w:val="30"/>
          <w:highlight w:val="none"/>
          <w:lang w:eastAsia="zh-CN"/>
        </w:rPr>
        <w:t>局机关只有</w:t>
      </w:r>
      <w:r>
        <w:rPr>
          <w:rFonts w:hint="eastAsia" w:ascii="仿宋" w:hAnsi="仿宋" w:eastAsia="仿宋"/>
          <w:sz w:val="30"/>
          <w:szCs w:val="30"/>
          <w:highlight w:val="none"/>
          <w:lang w:val="en-US" w:eastAsia="zh-CN"/>
        </w:rPr>
        <w:t>13个编，不单独核算的结算中心7个编，医保局自</w:t>
      </w:r>
      <w:r>
        <w:rPr>
          <w:rFonts w:hint="eastAsia" w:ascii="仿宋" w:hAnsi="仿宋" w:eastAsia="仿宋" w:cs="仿宋"/>
          <w:sz w:val="32"/>
          <w:szCs w:val="32"/>
          <w:highlight w:val="none"/>
          <w:lang w:val="en-US" w:eastAsia="zh-CN"/>
        </w:rPr>
        <w:t>成立以来担负着诸多改革任务，每年新出的政策和任务较多，工作任务重，人员配备严重不足</w:t>
      </w:r>
      <w:r>
        <w:rPr>
          <w:rFonts w:ascii="Times New Roman" w:hAnsi="Times New Roman" w:eastAsia="仿宋_GB2312" w:cs="Times New Roman"/>
          <w:sz w:val="32"/>
          <w:szCs w:val="32"/>
        </w:rPr>
        <w:t>；二是</w:t>
      </w:r>
      <w:r>
        <w:rPr>
          <w:rFonts w:ascii="仿宋" w:hAnsi="仿宋" w:eastAsia="仿宋"/>
          <w:sz w:val="30"/>
          <w:szCs w:val="30"/>
          <w:highlight w:val="none"/>
        </w:rPr>
        <w:t>预算执行偏差：医保市级统筹专项经费因合同约定，1.39万元运维尾款延迟至2025年支付，导致执行率97.22%，但未影响项目整体效益</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5）</w:t>
      </w:r>
      <w:r>
        <w:rPr>
          <w:rFonts w:ascii="Times New Roman" w:hAnsi="Times New Roman" w:eastAsia="仿宋_GB2312" w:cs="Times New Roman"/>
          <w:sz w:val="32"/>
          <w:szCs w:val="32"/>
        </w:rPr>
        <w:t>下一步改进措施：一是</w:t>
      </w:r>
      <w:r>
        <w:rPr>
          <w:rFonts w:hint="eastAsia" w:ascii="仿宋" w:hAnsi="仿宋" w:eastAsia="仿宋"/>
          <w:sz w:val="30"/>
          <w:szCs w:val="30"/>
          <w:highlight w:val="none"/>
          <w:lang w:eastAsia="zh-CN"/>
        </w:rPr>
        <w:t>多向市委、市政府汇报，与市编委沟通，争取增加编制，配备更多工作人员</w:t>
      </w:r>
      <w:r>
        <w:rPr>
          <w:rFonts w:ascii="Times New Roman" w:hAnsi="Times New Roman" w:eastAsia="仿宋_GB2312" w:cs="Times New Roman"/>
          <w:sz w:val="32"/>
          <w:szCs w:val="32"/>
        </w:rPr>
        <w:t>；二是</w:t>
      </w:r>
      <w:r>
        <w:rPr>
          <w:rFonts w:ascii="仿宋" w:hAnsi="仿宋" w:eastAsia="仿宋"/>
          <w:sz w:val="30"/>
          <w:szCs w:val="30"/>
          <w:highlight w:val="none"/>
        </w:rPr>
        <w:t>规范预算执行：加强项目资金进度管理，提前对接供应商，避免因付款周期导致执行率偏差，特殊情况及时申请预算调整。</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（如有，一级预算部门填写）</w:t>
      </w:r>
      <w:r>
        <w:rPr>
          <w:rFonts w:ascii="Times New Roman" w:hAnsi="Times New Roman" w:eastAsia="仿宋_GB2312" w:cs="Times New Roman"/>
          <w:b/>
          <w:bCs/>
          <w:kern w:val="0"/>
          <w:sz w:val="32"/>
          <w:szCs w:val="32"/>
        </w:rPr>
        <w:t>。</w:t>
      </w:r>
      <w:r>
        <w:rPr>
          <w:rFonts w:hint="eastAsia" w:ascii="Times New Roman" w:hAnsi="Times New Roman" w:eastAsia="仿宋_GB2312" w:cs="Times New Roman"/>
          <w:b w:val="0"/>
          <w:bCs w:val="0"/>
          <w:kern w:val="0"/>
          <w:sz w:val="32"/>
          <w:szCs w:val="32"/>
          <w:lang w:val="en-US" w:eastAsia="zh-CN"/>
        </w:rPr>
        <w:t>11个</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1445.51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1443.96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发现的主要问题及原因</w:t>
      </w:r>
      <w:r>
        <w:rPr>
          <w:rFonts w:ascii="Times New Roman" w:hAnsi="Times New Roman" w:eastAsia="仿宋_GB2312" w:cs="Times New Roman"/>
          <w:sz w:val="32"/>
          <w:szCs w:val="32"/>
        </w:rPr>
        <w:t>：一是</w:t>
      </w:r>
      <w:r>
        <w:rPr>
          <w:rFonts w:hint="eastAsia" w:ascii="仿宋" w:hAnsi="仿宋" w:eastAsia="仿宋" w:cs="仿宋"/>
          <w:sz w:val="30"/>
          <w:szCs w:val="30"/>
        </w:rPr>
        <w:t>局本级人员编制严重不足：局机关只有13个编，不单独核算的结算中心7个编，医保局自成立以来担负着诸多改革任务，每年新出的政策和任务较多，工作任务重，人员配备严重不足。预算执行偏差：医保市级统筹专项经费因合同约定，1.39万元运维尾款延迟至2025年支付，导致执行率97.22%，但未影响项目整体效益</w:t>
      </w:r>
      <w:r>
        <w:rPr>
          <w:rFonts w:ascii="Times New Roman" w:hAnsi="Times New Roman" w:eastAsia="仿宋_GB2312" w:cs="Times New Roman"/>
          <w:sz w:val="32"/>
          <w:szCs w:val="32"/>
        </w:rPr>
        <w:t>；二是</w:t>
      </w:r>
      <w:r>
        <w:rPr>
          <w:rFonts w:hint="eastAsia" w:ascii="仿宋" w:hAnsi="仿宋" w:eastAsia="仿宋" w:cs="仿宋"/>
          <w:sz w:val="30"/>
          <w:szCs w:val="30"/>
        </w:rPr>
        <w:t>医疗保障事务中心预算支出执行问题：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服务和资源问题：部分服务事项的网上办理深度不够；医疗资源分配不均衡，部分边远地区群众享受医疗服务不便；财政压力较大，需持续寻求提高经费使用效益的方法。主要原因是技术支撑不足、基础设施薄弱和地区发展差异等。</w:t>
      </w:r>
      <w:r>
        <w:rPr>
          <w:rFonts w:ascii="Times New Roman" w:hAnsi="Times New Roman" w:eastAsia="仿宋_GB2312" w:cs="Times New Roman"/>
          <w:b/>
          <w:bCs/>
          <w:sz w:val="32"/>
          <w:szCs w:val="32"/>
        </w:rPr>
        <w:t>下一步改进措施</w:t>
      </w:r>
      <w:r>
        <w:rPr>
          <w:rFonts w:ascii="Times New Roman" w:hAnsi="Times New Roman" w:eastAsia="仿宋_GB2312" w:cs="Times New Roman"/>
          <w:sz w:val="32"/>
          <w:szCs w:val="32"/>
        </w:rPr>
        <w:t>：一是</w:t>
      </w:r>
      <w:r>
        <w:rPr>
          <w:rFonts w:hint="eastAsia" w:ascii="仿宋" w:hAnsi="仿宋" w:eastAsia="仿宋" w:cs="仿宋"/>
          <w:sz w:val="30"/>
          <w:szCs w:val="30"/>
        </w:rPr>
        <w:t>局本级向市委、市政府汇报，与市编委沟通，争取增加编制，配备更多工作人员。规范预算执行：加强项目资金进度管理，提前对接供应商，避免因付款周期导致执行率偏差，特殊情况及时申请预算调整</w:t>
      </w:r>
      <w:r>
        <w:rPr>
          <w:rFonts w:ascii="Times New Roman" w:hAnsi="Times New Roman" w:eastAsia="仿宋_GB2312" w:cs="Times New Roman"/>
          <w:sz w:val="32"/>
          <w:szCs w:val="32"/>
        </w:rPr>
        <w:t>；二是</w:t>
      </w:r>
      <w:r>
        <w:rPr>
          <w:rFonts w:hint="eastAsia" w:ascii="仿宋" w:hAnsi="仿宋" w:eastAsia="仿宋" w:cs="仿宋"/>
          <w:sz w:val="30"/>
          <w:szCs w:val="30"/>
        </w:rPr>
        <w:t>医疗保障事务中</w:t>
      </w:r>
      <w:r>
        <w:rPr>
          <w:rFonts w:hint="eastAsia" w:ascii="仿宋" w:hAnsi="仿宋" w:eastAsia="仿宋" w:cs="仿宋"/>
          <w:sz w:val="30"/>
          <w:szCs w:val="30"/>
          <w:lang w:eastAsia="zh-CN"/>
        </w:rPr>
        <w:t>心</w:t>
      </w:r>
      <w:r>
        <w:rPr>
          <w:rFonts w:hint="eastAsia" w:ascii="仿宋" w:hAnsi="仿宋" w:eastAsia="仿宋" w:cs="仿宋"/>
          <w:sz w:val="30"/>
          <w:szCs w:val="30"/>
        </w:rPr>
        <w:t>进一步加强项目的前期规划和准备工作，优化流程，提高项目实施效率。强化对不可预见因素的预判和应对</w:t>
      </w:r>
      <w:r>
        <w:rPr>
          <w:rFonts w:hint="eastAsia" w:ascii="仿宋" w:hAnsi="仿宋" w:eastAsia="仿宋" w:cs="仿宋"/>
          <w:sz w:val="30"/>
          <w:szCs w:val="30"/>
          <w:lang w:val="en-US" w:eastAsia="zh-CN"/>
        </w:rPr>
        <w:t>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三是事前绩效评估结果（如有，一级预算部门填写）。</w:t>
      </w:r>
      <w:r>
        <w:rPr>
          <w:rFonts w:hint="eastAsia" w:ascii="Times New Roman" w:hAnsi="Times New Roman" w:eastAsia="仿宋_GB2312" w:cs="Times New Roman"/>
          <w:b w:val="0"/>
          <w:bCs w:val="0"/>
          <w:kern w:val="0"/>
          <w:sz w:val="32"/>
          <w:szCs w:val="32"/>
          <w:lang w:eastAsia="zh-CN"/>
        </w:rPr>
        <w:t>组织对</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1443.96</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仿宋" w:hAnsi="仿宋" w:eastAsia="仿宋" w:cs="仿宋"/>
          <w:w w:val="100"/>
          <w:sz w:val="30"/>
          <w:szCs w:val="30"/>
        </w:rPr>
        <w:t>评估重点围绕项目立项必要性、预算合理性、实施可行性等，邀请行业专家参与论证，为项目立项与预算安排提供科学依据，确保财政资金精准投放。</w:t>
      </w:r>
    </w:p>
    <w:p w14:paraId="23343CC8">
      <w:pPr>
        <w:ind w:firstLine="755" w:firstLineChars="236"/>
        <w:rPr>
          <w:rFonts w:ascii="仿宋" w:hAnsi="仿宋" w:eastAsia="仿宋"/>
          <w:sz w:val="30"/>
          <w:szCs w:val="30"/>
          <w:highlight w:val="none"/>
        </w:rPr>
      </w:pPr>
      <w:r>
        <w:rPr>
          <w:rFonts w:ascii="Times New Roman" w:hAnsi="Times New Roman" w:eastAsia="楷体_GB2312" w:cs="Times New Roman"/>
          <w:b/>
          <w:bCs/>
          <w:color w:val="auto"/>
          <w:kern w:val="2"/>
          <w:sz w:val="32"/>
          <w:szCs w:val="32"/>
        </w:rPr>
        <w:t>（三）评价结果应用情况。</w:t>
      </w:r>
      <w:r>
        <w:rPr>
          <w:rFonts w:ascii="仿宋" w:hAnsi="仿宋" w:eastAsia="仿宋"/>
          <w:sz w:val="30"/>
          <w:szCs w:val="30"/>
          <w:highlight w:val="none"/>
        </w:rPr>
        <w:t>将自评结果作为2025年预算编制依据，如医疗保障服务与保障能力提升经费申请4</w:t>
      </w:r>
      <w:r>
        <w:rPr>
          <w:rFonts w:hint="eastAsia" w:ascii="仿宋" w:hAnsi="仿宋" w:eastAsia="仿宋"/>
          <w:sz w:val="30"/>
          <w:szCs w:val="30"/>
          <w:highlight w:val="none"/>
          <w:lang w:val="en-US" w:eastAsia="zh-CN"/>
        </w:rPr>
        <w:t>90</w:t>
      </w:r>
      <w:r>
        <w:rPr>
          <w:rFonts w:ascii="仿宋" w:hAnsi="仿宋" w:eastAsia="仿宋"/>
          <w:sz w:val="30"/>
          <w:szCs w:val="30"/>
          <w:highlight w:val="none"/>
        </w:rPr>
        <w:t>万元（增加15.97%），</w:t>
      </w:r>
      <w:r>
        <w:rPr>
          <w:rFonts w:hint="eastAsia" w:ascii="仿宋" w:hAnsi="仿宋" w:eastAsia="仿宋" w:cs="仿宋"/>
          <w:b w:val="0"/>
          <w:bCs w:val="0"/>
          <w:sz w:val="32"/>
          <w:szCs w:val="32"/>
          <w:highlight w:val="none"/>
          <w:lang w:val="en-US" w:eastAsia="zh-CN"/>
        </w:rPr>
        <w:t>信息化建设、医保支付方式改革、基金监管、医药价格及招标采购、宣传费用、会议培训等</w:t>
      </w:r>
      <w:r>
        <w:rPr>
          <w:rFonts w:ascii="仿宋" w:hAnsi="仿宋" w:eastAsia="仿宋"/>
          <w:b w:val="0"/>
          <w:bCs w:val="0"/>
          <w:sz w:val="30"/>
          <w:szCs w:val="30"/>
          <w:highlight w:val="none"/>
        </w:rPr>
        <w:t>。</w:t>
      </w:r>
    </w:p>
    <w:p w14:paraId="515C2786">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3A694E5">
      <w:pPr>
        <w:pStyle w:val="13"/>
        <w:jc w:val="center"/>
        <w:rPr>
          <w:rFonts w:ascii="Times New Roman" w:hAnsi="Times New Roman" w:cs="Times New Roman"/>
          <w:sz w:val="72"/>
          <w:szCs w:val="72"/>
        </w:rPr>
      </w:pPr>
    </w:p>
    <w:p w14:paraId="0F8BACD8">
      <w:pPr>
        <w:pStyle w:val="13"/>
        <w:jc w:val="center"/>
        <w:rPr>
          <w:rFonts w:ascii="Times New Roman" w:hAnsi="Times New Roman" w:cs="Times New Roman"/>
          <w:sz w:val="72"/>
          <w:szCs w:val="72"/>
        </w:rPr>
      </w:pPr>
    </w:p>
    <w:p w14:paraId="07FA9FBD">
      <w:pPr>
        <w:pStyle w:val="13"/>
        <w:jc w:val="center"/>
        <w:rPr>
          <w:rFonts w:ascii="Times New Roman" w:hAnsi="Times New Roman" w:cs="Times New Roman"/>
          <w:sz w:val="72"/>
          <w:szCs w:val="72"/>
        </w:rPr>
      </w:pPr>
    </w:p>
    <w:p w14:paraId="0C93AB61">
      <w:pPr>
        <w:pStyle w:val="13"/>
        <w:jc w:val="center"/>
        <w:rPr>
          <w:rFonts w:ascii="Times New Roman" w:hAnsi="Times New Roman" w:cs="Times New Roman"/>
          <w:sz w:val="72"/>
          <w:szCs w:val="72"/>
        </w:rPr>
      </w:pPr>
    </w:p>
    <w:p w14:paraId="5D53F952">
      <w:pPr>
        <w:pStyle w:val="13"/>
        <w:jc w:val="center"/>
        <w:rPr>
          <w:rFonts w:ascii="Times New Roman" w:hAnsi="Times New Roman" w:cs="Times New Roman"/>
          <w:sz w:val="72"/>
          <w:szCs w:val="72"/>
        </w:rPr>
      </w:pPr>
    </w:p>
    <w:p w14:paraId="026C901C">
      <w:pPr>
        <w:pStyle w:val="13"/>
        <w:jc w:val="center"/>
        <w:rPr>
          <w:rFonts w:ascii="Times New Roman" w:hAnsi="Times New Roman" w:cs="Times New Roman"/>
          <w:sz w:val="72"/>
          <w:szCs w:val="72"/>
        </w:rPr>
      </w:pPr>
    </w:p>
    <w:p w14:paraId="79FAC9B7">
      <w:pPr>
        <w:pStyle w:val="13"/>
        <w:jc w:val="center"/>
        <w:rPr>
          <w:rFonts w:ascii="Times New Roman" w:hAnsi="Times New Roman" w:cs="Times New Roman"/>
          <w:sz w:val="72"/>
          <w:szCs w:val="72"/>
        </w:rPr>
      </w:pPr>
    </w:p>
    <w:p w14:paraId="5E53568D">
      <w:pPr>
        <w:pStyle w:val="13"/>
        <w:jc w:val="center"/>
        <w:rPr>
          <w:rFonts w:ascii="Times New Roman" w:hAnsi="Times New Roman" w:cs="Times New Roman"/>
          <w:sz w:val="72"/>
          <w:szCs w:val="72"/>
        </w:rPr>
      </w:pPr>
    </w:p>
    <w:p w14:paraId="7880C27E">
      <w:pPr>
        <w:pStyle w:val="13"/>
        <w:jc w:val="center"/>
        <w:rPr>
          <w:rFonts w:ascii="Times New Roman" w:hAnsi="Times New Roman" w:cs="Times New Roman"/>
          <w:sz w:val="72"/>
          <w:szCs w:val="72"/>
        </w:rPr>
      </w:pPr>
    </w:p>
    <w:p w14:paraId="6D226ED1">
      <w:pPr>
        <w:pStyle w:val="13"/>
        <w:jc w:val="center"/>
        <w:rPr>
          <w:rFonts w:ascii="Times New Roman" w:hAnsi="Times New Roman" w:cs="Times New Roman"/>
          <w:sz w:val="72"/>
          <w:szCs w:val="72"/>
        </w:rPr>
      </w:pPr>
    </w:p>
    <w:p w14:paraId="7FB12B0D">
      <w:pPr>
        <w:pStyle w:val="13"/>
        <w:jc w:val="both"/>
        <w:rPr>
          <w:rFonts w:ascii="Times New Roman" w:hAnsi="Times New Roman" w:cs="Times New Roman"/>
          <w:sz w:val="72"/>
          <w:szCs w:val="72"/>
        </w:rPr>
      </w:pPr>
    </w:p>
    <w:p w14:paraId="7498CF2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86895B0">
      <w:pPr>
        <w:widowControl/>
        <w:jc w:val="left"/>
        <w:rPr>
          <w:rFonts w:ascii="Times New Roman" w:hAnsi="Times New Roman" w:cs="Times New Roman"/>
          <w:color w:val="000000"/>
          <w:kern w:val="0"/>
          <w:sz w:val="32"/>
          <w:szCs w:val="32"/>
        </w:rPr>
      </w:pPr>
    </w:p>
    <w:p w14:paraId="7C18091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ED6A3D5">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610FD6BB">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0635ED0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104A4C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4813D4DF">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54FC95A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2AAA24D6">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37860100">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74F77EBF">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748E338A">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02FB6687">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p>
    <w:p w14:paraId="4FC33E32">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firstLine="640" w:firstLineChars="200"/>
        <w:jc w:val="both"/>
        <w:textAlignment w:val="auto"/>
        <w:rPr>
          <w:rFonts w:hint="eastAsia" w:ascii="Times New Roman" w:hAnsi="Times New Roman" w:eastAsia="仿宋_GB2312"/>
          <w:spacing w:val="0"/>
          <w:sz w:val="32"/>
          <w:szCs w:val="32"/>
        </w:rPr>
      </w:pPr>
      <w:r>
        <w:rPr>
          <w:rFonts w:hint="eastAsia" w:ascii="黑体" w:hAnsi="黑体" w:eastAsia="黑体" w:cs="黑体"/>
          <w:spacing w:val="0"/>
          <w:sz w:val="32"/>
          <w:szCs w:val="32"/>
        </w:rPr>
        <w:t>一、机关运行经费：</w:t>
      </w:r>
      <w:r>
        <w:rPr>
          <w:rFonts w:hint="eastAsia" w:ascii="Times New Roman" w:hAnsi="Times New Roman" w:eastAsia="仿宋_GB2312"/>
          <w:spacing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1FB068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default" w:ascii="Times New Roman" w:hAnsi="Times New Roman" w:eastAsia="仿宋_GB2312"/>
          <w:spacing w:val="0"/>
          <w:sz w:val="32"/>
          <w:szCs w:val="32"/>
        </w:rPr>
      </w:pPr>
      <w:r>
        <w:rPr>
          <w:rFonts w:hint="eastAsia" w:ascii="黑体" w:hAnsi="黑体" w:eastAsia="黑体" w:cs="黑体"/>
          <w:spacing w:val="0"/>
          <w:sz w:val="32"/>
          <w:szCs w:val="32"/>
        </w:rPr>
        <w:t>二、“三公”经费：</w:t>
      </w:r>
      <w:r>
        <w:rPr>
          <w:rFonts w:hint="eastAsia" w:ascii="Times New Roman" w:hAnsi="Times New Roman" w:eastAsia="仿宋_GB2312"/>
          <w:spacing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2E3973C">
      <w:pPr>
        <w:pStyle w:val="13"/>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p>
    <w:p w14:paraId="0639C635">
      <w:pPr>
        <w:pStyle w:val="13"/>
        <w:jc w:val="center"/>
        <w:rPr>
          <w:rFonts w:ascii="Times New Roman" w:hAnsi="Times New Roman" w:cs="Times New Roman"/>
          <w:sz w:val="72"/>
          <w:szCs w:val="72"/>
        </w:rPr>
      </w:pPr>
    </w:p>
    <w:p w14:paraId="0AC69EAB">
      <w:pPr>
        <w:pStyle w:val="13"/>
        <w:jc w:val="center"/>
        <w:rPr>
          <w:rFonts w:ascii="Times New Roman" w:hAnsi="Times New Roman" w:cs="Times New Roman"/>
          <w:sz w:val="72"/>
          <w:szCs w:val="72"/>
        </w:rPr>
      </w:pPr>
    </w:p>
    <w:p w14:paraId="70FB1178">
      <w:pPr>
        <w:pStyle w:val="13"/>
        <w:jc w:val="center"/>
        <w:rPr>
          <w:rFonts w:ascii="Times New Roman" w:hAnsi="Times New Roman" w:cs="Times New Roman"/>
          <w:sz w:val="72"/>
          <w:szCs w:val="72"/>
        </w:rPr>
      </w:pPr>
    </w:p>
    <w:p w14:paraId="73AA279D">
      <w:pPr>
        <w:pStyle w:val="13"/>
        <w:jc w:val="center"/>
        <w:rPr>
          <w:rFonts w:ascii="Times New Roman" w:hAnsi="Times New Roman" w:cs="Times New Roman"/>
          <w:sz w:val="72"/>
          <w:szCs w:val="72"/>
        </w:rPr>
      </w:pPr>
    </w:p>
    <w:p w14:paraId="0E1CBED2">
      <w:pPr>
        <w:pStyle w:val="13"/>
        <w:jc w:val="center"/>
        <w:rPr>
          <w:rFonts w:ascii="Times New Roman" w:hAnsi="Times New Roman" w:cs="Times New Roman"/>
          <w:sz w:val="72"/>
          <w:szCs w:val="72"/>
        </w:rPr>
      </w:pPr>
    </w:p>
    <w:p w14:paraId="1EB57A1A">
      <w:pPr>
        <w:pStyle w:val="13"/>
        <w:jc w:val="center"/>
        <w:rPr>
          <w:rFonts w:ascii="Times New Roman" w:hAnsi="Times New Roman" w:cs="Times New Roman"/>
          <w:sz w:val="72"/>
          <w:szCs w:val="72"/>
        </w:rPr>
      </w:pPr>
    </w:p>
    <w:p w14:paraId="3E9EC850">
      <w:pPr>
        <w:pStyle w:val="13"/>
        <w:jc w:val="both"/>
        <w:rPr>
          <w:rFonts w:ascii="Times New Roman" w:hAnsi="Times New Roman" w:cs="Times New Roman"/>
          <w:sz w:val="72"/>
          <w:szCs w:val="72"/>
        </w:rPr>
      </w:pPr>
    </w:p>
    <w:p w14:paraId="673BDCCC">
      <w:pPr>
        <w:pStyle w:val="13"/>
        <w:jc w:val="both"/>
        <w:rPr>
          <w:rFonts w:ascii="Times New Roman" w:hAnsi="Times New Roman" w:cs="Times New Roman"/>
          <w:sz w:val="72"/>
          <w:szCs w:val="72"/>
        </w:rPr>
      </w:pPr>
    </w:p>
    <w:p w14:paraId="19B67FA0">
      <w:pPr>
        <w:pStyle w:val="13"/>
        <w:jc w:val="both"/>
        <w:rPr>
          <w:rFonts w:ascii="Times New Roman" w:hAnsi="Times New Roman" w:cs="Times New Roman"/>
          <w:sz w:val="72"/>
          <w:szCs w:val="72"/>
        </w:rPr>
      </w:pPr>
    </w:p>
    <w:p w14:paraId="06788D8E">
      <w:pPr>
        <w:pStyle w:val="13"/>
        <w:jc w:val="both"/>
        <w:rPr>
          <w:rFonts w:ascii="Times New Roman" w:hAnsi="Times New Roman" w:cs="Times New Roman"/>
          <w:sz w:val="72"/>
          <w:szCs w:val="72"/>
        </w:rPr>
      </w:pPr>
    </w:p>
    <w:p w14:paraId="7C1AC795">
      <w:pPr>
        <w:pStyle w:val="13"/>
        <w:numPr>
          <w:ilvl w:val="0"/>
          <w:numId w:val="2"/>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491641">
      <w:pPr>
        <w:pStyle w:val="13"/>
        <w:numPr>
          <w:ilvl w:val="0"/>
          <w:numId w:val="0"/>
        </w:numPr>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附 件</w:t>
      </w:r>
    </w:p>
    <w:p w14:paraId="4C06E5BF">
      <w:pPr>
        <w:rPr>
          <w:rFonts w:ascii="Times New Roman" w:hAnsi="Times New Roman" w:cs="Times New Roman"/>
          <w:sz w:val="72"/>
          <w:szCs w:val="72"/>
        </w:rPr>
      </w:pPr>
    </w:p>
    <w:p w14:paraId="3086D9B5">
      <w:pPr>
        <w:widowControl/>
        <w:jc w:val="center"/>
        <w:rPr>
          <w:rFonts w:hint="eastAsia" w:ascii="仿宋" w:hAnsi="仿宋" w:eastAsia="仿宋" w:cs="仿宋"/>
          <w:b/>
          <w:bCs/>
          <w:sz w:val="44"/>
          <w:szCs w:val="44"/>
        </w:rPr>
      </w:pPr>
    </w:p>
    <w:p w14:paraId="7AD6174A">
      <w:pPr>
        <w:widowControl/>
        <w:jc w:val="center"/>
        <w:rPr>
          <w:rFonts w:hint="eastAsia" w:ascii="仿宋" w:hAnsi="仿宋" w:eastAsia="仿宋" w:cs="仿宋"/>
          <w:b/>
          <w:bCs/>
          <w:sz w:val="44"/>
          <w:szCs w:val="44"/>
        </w:rPr>
      </w:pPr>
    </w:p>
    <w:p w14:paraId="205D21AB">
      <w:pPr>
        <w:widowControl/>
        <w:jc w:val="center"/>
        <w:rPr>
          <w:rFonts w:hint="eastAsia" w:ascii="仿宋" w:hAnsi="仿宋" w:eastAsia="仿宋" w:cs="仿宋"/>
          <w:b/>
          <w:bCs/>
          <w:sz w:val="44"/>
          <w:szCs w:val="44"/>
        </w:rPr>
      </w:pPr>
    </w:p>
    <w:p w14:paraId="1AAF04F3">
      <w:pPr>
        <w:widowControl/>
        <w:jc w:val="center"/>
        <w:rPr>
          <w:rFonts w:hint="eastAsia" w:ascii="仿宋" w:hAnsi="仿宋" w:eastAsia="仿宋" w:cs="仿宋"/>
          <w:b/>
          <w:bCs/>
          <w:sz w:val="44"/>
          <w:szCs w:val="44"/>
        </w:rPr>
      </w:pPr>
    </w:p>
    <w:p w14:paraId="04DE560D">
      <w:pPr>
        <w:widowControl/>
        <w:jc w:val="center"/>
        <w:rPr>
          <w:rFonts w:hint="eastAsia" w:ascii="仿宋" w:hAnsi="仿宋" w:eastAsia="仿宋" w:cs="仿宋"/>
          <w:b/>
          <w:bCs/>
          <w:sz w:val="44"/>
          <w:szCs w:val="44"/>
        </w:rPr>
      </w:pPr>
    </w:p>
    <w:p w14:paraId="3A1D073A">
      <w:pPr>
        <w:widowControl/>
        <w:jc w:val="center"/>
        <w:rPr>
          <w:rFonts w:hint="eastAsia" w:ascii="仿宋" w:hAnsi="仿宋" w:eastAsia="仿宋" w:cs="仿宋"/>
          <w:b/>
          <w:bCs/>
          <w:sz w:val="44"/>
          <w:szCs w:val="44"/>
        </w:rPr>
      </w:pPr>
    </w:p>
    <w:p w14:paraId="383EFAEF">
      <w:pPr>
        <w:widowControl/>
        <w:jc w:val="center"/>
        <w:rPr>
          <w:rFonts w:hint="eastAsia" w:ascii="仿宋" w:hAnsi="仿宋" w:eastAsia="仿宋" w:cs="仿宋"/>
          <w:b/>
          <w:bCs/>
          <w:sz w:val="44"/>
          <w:szCs w:val="44"/>
        </w:rPr>
      </w:pPr>
    </w:p>
    <w:p w14:paraId="69E56B9B">
      <w:pPr>
        <w:widowControl/>
        <w:jc w:val="center"/>
        <w:rPr>
          <w:rFonts w:hint="eastAsia" w:ascii="仿宋" w:hAnsi="仿宋" w:eastAsia="仿宋" w:cs="仿宋"/>
          <w:b/>
          <w:bCs/>
          <w:sz w:val="44"/>
          <w:szCs w:val="44"/>
        </w:rPr>
      </w:pPr>
    </w:p>
    <w:p w14:paraId="38AC2C0F">
      <w:pPr>
        <w:widowControl/>
        <w:jc w:val="center"/>
        <w:rPr>
          <w:rFonts w:hint="eastAsia" w:ascii="仿宋" w:hAnsi="仿宋" w:eastAsia="仿宋" w:cs="仿宋"/>
          <w:b/>
          <w:bCs/>
          <w:sz w:val="44"/>
          <w:szCs w:val="44"/>
        </w:rPr>
      </w:pPr>
    </w:p>
    <w:p w14:paraId="402550B4">
      <w:pPr>
        <w:widowControl/>
        <w:jc w:val="center"/>
        <w:rPr>
          <w:rFonts w:hint="eastAsia" w:ascii="仿宋" w:hAnsi="仿宋" w:eastAsia="仿宋" w:cs="仿宋"/>
          <w:b/>
          <w:bCs/>
          <w:sz w:val="44"/>
          <w:szCs w:val="44"/>
        </w:rPr>
      </w:pPr>
    </w:p>
    <w:p w14:paraId="5F62A130">
      <w:pPr>
        <w:widowControl/>
        <w:jc w:val="center"/>
        <w:rPr>
          <w:rFonts w:hint="eastAsia" w:ascii="仿宋" w:hAnsi="仿宋" w:eastAsia="仿宋" w:cs="仿宋"/>
          <w:b/>
          <w:bCs/>
          <w:sz w:val="44"/>
          <w:szCs w:val="44"/>
        </w:rPr>
      </w:pPr>
    </w:p>
    <w:p w14:paraId="263D1F01">
      <w:pPr>
        <w:widowControl/>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怀化市怀化市医疗保障局</w:t>
      </w:r>
    </w:p>
    <w:p w14:paraId="2D78B275">
      <w:pPr>
        <w:widowControl/>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2024年度</w:t>
      </w:r>
      <w:r>
        <w:rPr>
          <w:rFonts w:ascii="仿宋" w:hAnsi="仿宋" w:eastAsia="仿宋" w:cs="仿宋"/>
          <w:b/>
          <w:bCs/>
          <w:sz w:val="44"/>
          <w:szCs w:val="44"/>
          <w:highlight w:val="none"/>
        </w:rPr>
        <w:t>整体支出绩效自评报告</w:t>
      </w:r>
    </w:p>
    <w:p w14:paraId="0F3AFAE0">
      <w:pPr>
        <w:rPr>
          <w:highlight w:val="none"/>
        </w:rPr>
      </w:pPr>
    </w:p>
    <w:p w14:paraId="0AEF0439">
      <w:pPr>
        <w:ind w:firstLine="708" w:firstLineChars="236"/>
        <w:rPr>
          <w:rFonts w:ascii="仿宋" w:hAnsi="仿宋" w:eastAsia="仿宋"/>
          <w:sz w:val="30"/>
          <w:szCs w:val="30"/>
          <w:highlight w:val="none"/>
        </w:rPr>
      </w:pPr>
      <w:r>
        <w:rPr>
          <w:rFonts w:ascii="仿宋" w:hAnsi="仿宋" w:eastAsia="仿宋"/>
          <w:sz w:val="30"/>
          <w:szCs w:val="30"/>
          <w:highlight w:val="none"/>
        </w:rPr>
        <w:t>一、部门概况</w:t>
      </w:r>
    </w:p>
    <w:p w14:paraId="0110F005">
      <w:pPr>
        <w:ind w:firstLine="708" w:firstLineChars="236"/>
        <w:rPr>
          <w:rFonts w:ascii="仿宋" w:hAnsi="仿宋" w:eastAsia="仿宋"/>
          <w:sz w:val="30"/>
          <w:szCs w:val="30"/>
          <w:highlight w:val="none"/>
        </w:rPr>
      </w:pPr>
      <w:r>
        <w:rPr>
          <w:rFonts w:ascii="仿宋" w:hAnsi="仿宋" w:eastAsia="仿宋"/>
          <w:sz w:val="30"/>
          <w:szCs w:val="30"/>
          <w:highlight w:val="none"/>
        </w:rPr>
        <w:t>（一）部门基本情况</w:t>
      </w:r>
    </w:p>
    <w:p w14:paraId="6F09C363">
      <w:pPr>
        <w:widowControl/>
        <w:shd w:val="clear" w:color="auto" w:fill="FFFFFF"/>
        <w:spacing w:line="360" w:lineRule="auto"/>
        <w:ind w:firstLine="640"/>
        <w:rPr>
          <w:rFonts w:hint="eastAsia" w:ascii="仿宋" w:hAnsi="仿宋" w:eastAsia="仿宋" w:cs="Times New Roman"/>
          <w:sz w:val="30"/>
          <w:szCs w:val="30"/>
          <w:highlight w:val="none"/>
        </w:rPr>
      </w:pPr>
      <w:r>
        <w:rPr>
          <w:rFonts w:hint="eastAsia" w:ascii="仿宋" w:hAnsi="仿宋" w:eastAsia="仿宋" w:cs="Times New Roman"/>
          <w:sz w:val="30"/>
          <w:szCs w:val="30"/>
          <w:highlight w:val="none"/>
        </w:rPr>
        <w:t>怀化市医疗保障局作为一级部门预算单位，内设科室为：办公室、规划财务和法规科、待遇保障科、医药服务和定价采购科、基金监管科。</w:t>
      </w:r>
    </w:p>
    <w:p w14:paraId="6F1166FB">
      <w:pPr>
        <w:widowControl/>
        <w:shd w:val="clear" w:color="auto" w:fill="FFFFFF"/>
        <w:spacing w:line="360" w:lineRule="auto"/>
        <w:ind w:firstLine="640"/>
        <w:rPr>
          <w:rFonts w:hint="eastAsia" w:ascii="仿宋" w:hAnsi="仿宋" w:eastAsia="仿宋"/>
          <w:sz w:val="30"/>
          <w:szCs w:val="30"/>
          <w:highlight w:val="none"/>
        </w:rPr>
      </w:pPr>
      <w:r>
        <w:rPr>
          <w:rFonts w:ascii="仿宋" w:hAnsi="仿宋" w:eastAsia="仿宋"/>
          <w:sz w:val="30"/>
          <w:szCs w:val="30"/>
          <w:highlight w:val="none"/>
        </w:rPr>
        <w:t>主要职责包括</w:t>
      </w:r>
      <w:r>
        <w:rPr>
          <w:rFonts w:hint="eastAsia" w:ascii="仿宋" w:hAnsi="仿宋" w:eastAsia="仿宋"/>
          <w:sz w:val="30"/>
          <w:szCs w:val="30"/>
          <w:highlight w:val="none"/>
        </w:rPr>
        <w:t>：</w:t>
      </w:r>
    </w:p>
    <w:p w14:paraId="2E8EF54C">
      <w:pPr>
        <w:widowControl/>
        <w:spacing w:line="437" w:lineRule="atLeast"/>
        <w:ind w:firstLine="758" w:firstLineChars="253"/>
        <w:jc w:val="left"/>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1、拟订全市医疗保险、生育保险、医疗救助等医疗保障制度的规范性文件、规划和标准，并组织实施。</w:t>
      </w:r>
    </w:p>
    <w:p w14:paraId="4CBE5FD4">
      <w:pPr>
        <w:widowControl/>
        <w:spacing w:line="437" w:lineRule="atLeast"/>
        <w:ind w:firstLine="758" w:firstLineChars="253"/>
        <w:jc w:val="left"/>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2、组织制定并实施全市医疗保障基金监督管理办法，监督管理相关医疗保障基金，建立健全医疗保障基金安全防控机制，推进医疗保障基金支付方式改革。</w:t>
      </w:r>
    </w:p>
    <w:p w14:paraId="0BAC8482">
      <w:pPr>
        <w:widowControl/>
        <w:spacing w:line="437" w:lineRule="atLeast"/>
        <w:ind w:firstLine="758" w:firstLineChars="253"/>
        <w:jc w:val="left"/>
        <w:rPr>
          <w:rFonts w:ascii="仿宋" w:hAnsi="仿宋" w:eastAsia="仿宋" w:cs="Times New Roman"/>
          <w:color w:val="3D3D3D"/>
          <w:kern w:val="0"/>
          <w:sz w:val="30"/>
          <w:szCs w:val="30"/>
          <w:highlight w:val="none"/>
        </w:rPr>
      </w:pPr>
      <w:r>
        <w:rPr>
          <w:rFonts w:hint="eastAsia" w:ascii="仿宋" w:hAnsi="仿宋" w:eastAsia="仿宋" w:cs="Times New Roman"/>
          <w:color w:val="3D3D3D"/>
          <w:kern w:val="0"/>
          <w:sz w:val="30"/>
          <w:szCs w:val="30"/>
          <w:highlight w:val="none"/>
        </w:rPr>
        <w:t>3、组织制定全市医疗保障筹资和待遇实施办法，完善动态调整和区域调剂平衡机制，统筹城乡医疗保障待遇标准，建立健全与筹资水平相适应的待遇调整机制，组织拟订并实施长期护理保险制度改革方案。</w:t>
      </w:r>
    </w:p>
    <w:p w14:paraId="7F497558">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4、组织制定全市城乡统一的药品、医用耗材、医疗服务项目、医疗服务设施等医保目录和支付标准，建立动态调整机制，制定医保目录准入谈判规则并组织实施。</w:t>
      </w:r>
    </w:p>
    <w:p w14:paraId="60876CD9">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5、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41A65A25">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6、制定全市药品、医用耗材的招标采购办法并监督实施，指导药品、医用耗材招标采购平台建设。</w:t>
      </w:r>
    </w:p>
    <w:p w14:paraId="03FF9496">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7、制定全市定点医药机构协议和支付管理办法并组织实施，建立健全医疗保障信用评价体系和信息披露制度，监督管理纳入医保范围内的医疗服务行为和医疗费用，依法查处医疗保障领域违法违规行为。</w:t>
      </w:r>
    </w:p>
    <w:p w14:paraId="2DF4ACE9">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8、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35153D45">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9、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14:paraId="5AE89E96">
      <w:pPr>
        <w:spacing w:line="360" w:lineRule="auto"/>
        <w:ind w:firstLine="758" w:firstLineChars="253"/>
        <w:rPr>
          <w:rFonts w:ascii="仿宋" w:hAnsi="仿宋" w:eastAsia="仿宋"/>
          <w:color w:val="3D3D3D"/>
          <w:kern w:val="0"/>
          <w:sz w:val="30"/>
          <w:szCs w:val="30"/>
          <w:highlight w:val="none"/>
        </w:rPr>
      </w:pPr>
      <w:r>
        <w:rPr>
          <w:rFonts w:hint="eastAsia" w:ascii="仿宋" w:hAnsi="仿宋" w:eastAsia="仿宋" w:cs="Times New Roman"/>
          <w:color w:val="3D3D3D"/>
          <w:kern w:val="0"/>
          <w:sz w:val="30"/>
          <w:szCs w:val="30"/>
          <w:highlight w:val="none"/>
        </w:rPr>
        <w:t>10、与市卫生健康委等部门在医疗、医保、医药等方面加强制度、政策衔接，建立沟通协商机制，协同推进改革，提高医疗资源使用效率和医疗保障水平。</w:t>
      </w:r>
    </w:p>
    <w:p w14:paraId="5FCAA26C">
      <w:pPr>
        <w:widowControl/>
        <w:shd w:val="clear" w:color="auto" w:fill="FFFFFF"/>
        <w:spacing w:line="360" w:lineRule="auto"/>
        <w:ind w:firstLine="640"/>
        <w:rPr>
          <w:rFonts w:hint="eastAsia" w:ascii="仿宋" w:hAnsi="仿宋" w:eastAsia="仿宋"/>
          <w:sz w:val="30"/>
          <w:szCs w:val="30"/>
          <w:highlight w:val="none"/>
        </w:rPr>
      </w:pPr>
      <w:r>
        <w:rPr>
          <w:rFonts w:hint="eastAsia" w:ascii="仿宋" w:hAnsi="仿宋" w:eastAsia="仿宋" w:cs="Times New Roman"/>
          <w:color w:val="3D3D3D"/>
          <w:kern w:val="0"/>
          <w:sz w:val="30"/>
          <w:szCs w:val="30"/>
          <w:highlight w:val="none"/>
        </w:rPr>
        <w:t>11、完成市委、市政府交办的其他任务。</w:t>
      </w:r>
    </w:p>
    <w:p w14:paraId="730DA8CC">
      <w:pPr>
        <w:widowControl/>
        <w:shd w:val="clear" w:color="auto" w:fill="FFFFFF"/>
        <w:spacing w:line="360" w:lineRule="auto"/>
        <w:ind w:firstLine="640"/>
        <w:rPr>
          <w:rFonts w:ascii="仿宋" w:hAnsi="仿宋" w:eastAsia="仿宋"/>
          <w:sz w:val="30"/>
          <w:szCs w:val="30"/>
          <w:highlight w:val="none"/>
        </w:rPr>
      </w:pPr>
      <w:r>
        <w:rPr>
          <w:rFonts w:hint="eastAsia" w:ascii="仿宋" w:hAnsi="仿宋" w:eastAsia="仿宋"/>
          <w:sz w:val="30"/>
          <w:szCs w:val="30"/>
          <w:highlight w:val="none"/>
        </w:rPr>
        <w:t>根据编委核定，截止2024年末，怀化市医疗保障局共有</w:t>
      </w:r>
      <w:r>
        <w:rPr>
          <w:rFonts w:ascii="仿宋" w:hAnsi="仿宋" w:eastAsia="仿宋"/>
          <w:sz w:val="30"/>
          <w:szCs w:val="30"/>
          <w:highlight w:val="none"/>
        </w:rPr>
        <w:t>财政供养人员编制数</w:t>
      </w:r>
      <w:r>
        <w:rPr>
          <w:rFonts w:hint="eastAsia" w:ascii="仿宋" w:hAnsi="仿宋" w:eastAsia="仿宋"/>
          <w:sz w:val="30"/>
          <w:szCs w:val="30"/>
          <w:highlight w:val="none"/>
          <w:lang w:val="en-US" w:eastAsia="zh-CN"/>
        </w:rPr>
        <w:t>20</w:t>
      </w:r>
      <w:r>
        <w:rPr>
          <w:rFonts w:ascii="仿宋" w:hAnsi="仿宋" w:eastAsia="仿宋"/>
          <w:sz w:val="30"/>
          <w:szCs w:val="30"/>
          <w:highlight w:val="none"/>
        </w:rPr>
        <w:t>人，</w:t>
      </w:r>
      <w:r>
        <w:rPr>
          <w:rFonts w:hint="eastAsia" w:ascii="仿宋" w:hAnsi="仿宋" w:eastAsia="仿宋"/>
          <w:sz w:val="30"/>
          <w:szCs w:val="30"/>
          <w:highlight w:val="none"/>
        </w:rPr>
        <w:t>实际在职人员20人，</w:t>
      </w:r>
      <w:r>
        <w:rPr>
          <w:rFonts w:ascii="仿宋" w:hAnsi="仿宋" w:eastAsia="仿宋"/>
          <w:sz w:val="30"/>
          <w:szCs w:val="30"/>
          <w:highlight w:val="none"/>
        </w:rPr>
        <w:t>控制率为</w:t>
      </w:r>
      <w:r>
        <w:rPr>
          <w:rFonts w:hint="eastAsia" w:ascii="仿宋" w:hAnsi="仿宋" w:eastAsia="仿宋"/>
          <w:sz w:val="30"/>
          <w:szCs w:val="30"/>
          <w:highlight w:val="none"/>
          <w:lang w:val="en-US" w:eastAsia="zh-CN"/>
        </w:rPr>
        <w:t>100</w:t>
      </w:r>
      <w:r>
        <w:rPr>
          <w:rFonts w:ascii="仿宋" w:hAnsi="仿宋" w:eastAsia="仿宋"/>
          <w:sz w:val="30"/>
          <w:szCs w:val="30"/>
          <w:highlight w:val="none"/>
        </w:rPr>
        <w:t>%。</w:t>
      </w:r>
    </w:p>
    <w:p w14:paraId="6FE4A98C">
      <w:pPr>
        <w:ind w:firstLine="708" w:firstLineChars="236"/>
        <w:rPr>
          <w:rFonts w:ascii="仿宋" w:hAnsi="仿宋" w:eastAsia="仿宋"/>
          <w:sz w:val="30"/>
          <w:szCs w:val="30"/>
          <w:highlight w:val="none"/>
        </w:rPr>
      </w:pPr>
      <w:r>
        <w:rPr>
          <w:rFonts w:ascii="仿宋" w:hAnsi="仿宋" w:eastAsia="仿宋"/>
          <w:sz w:val="30"/>
          <w:szCs w:val="30"/>
          <w:highlight w:val="none"/>
        </w:rPr>
        <w:t>（二）部门整体支出规模、使用方向和主要内容、涉及范围</w:t>
      </w:r>
    </w:p>
    <w:p w14:paraId="1EFF7308">
      <w:pPr>
        <w:ind w:firstLine="708" w:firstLineChars="236"/>
        <w:rPr>
          <w:rFonts w:ascii="仿宋" w:hAnsi="仿宋" w:eastAsia="仿宋"/>
          <w:sz w:val="30"/>
          <w:szCs w:val="30"/>
          <w:highlight w:val="none"/>
        </w:rPr>
      </w:pPr>
      <w:r>
        <w:rPr>
          <w:rFonts w:ascii="仿宋" w:hAnsi="仿宋" w:eastAsia="仿宋"/>
          <w:sz w:val="30"/>
          <w:szCs w:val="30"/>
          <w:highlight w:val="none"/>
        </w:rPr>
        <w:t>2024年部门整体支出总额为827.05万元，其中基本支出325.28万元，项目支出501.77万元。资金主要用于保障机构日常运转、推进医保支付方式改革（如DIP支付改革）、提升基金监管能力、完善医保信息平台建设、落实药品耗材集采政策、支持中医药产业发展及区域医疗中心建设等。涉及范围覆盖全市430.14万参保人员的医保待遇落实、基金安全监管、医药服务价格管理等民生领域，以及医保经办服务体系和信息化建设。</w:t>
      </w:r>
    </w:p>
    <w:p w14:paraId="42143460">
      <w:pPr>
        <w:ind w:firstLine="708" w:firstLineChars="236"/>
        <w:rPr>
          <w:rFonts w:ascii="仿宋" w:hAnsi="仿宋" w:eastAsia="仿宋"/>
          <w:sz w:val="30"/>
          <w:szCs w:val="30"/>
          <w:highlight w:val="none"/>
        </w:rPr>
      </w:pPr>
      <w:r>
        <w:rPr>
          <w:rFonts w:ascii="仿宋" w:hAnsi="仿宋" w:eastAsia="仿宋"/>
          <w:sz w:val="30"/>
          <w:szCs w:val="30"/>
          <w:highlight w:val="none"/>
        </w:rPr>
        <w:t>二、一般公共预算支出情况</w:t>
      </w:r>
    </w:p>
    <w:p w14:paraId="0662176F">
      <w:pPr>
        <w:ind w:firstLine="708" w:firstLineChars="236"/>
        <w:rPr>
          <w:rFonts w:ascii="仿宋" w:hAnsi="仿宋" w:eastAsia="仿宋"/>
          <w:sz w:val="30"/>
          <w:szCs w:val="30"/>
          <w:highlight w:val="none"/>
        </w:rPr>
      </w:pPr>
      <w:r>
        <w:rPr>
          <w:rFonts w:ascii="仿宋" w:hAnsi="仿宋" w:eastAsia="仿宋"/>
          <w:sz w:val="30"/>
          <w:szCs w:val="30"/>
          <w:highlight w:val="none"/>
        </w:rPr>
        <w:t>（一）基本支出</w:t>
      </w:r>
    </w:p>
    <w:p w14:paraId="63CB1A79">
      <w:pPr>
        <w:ind w:firstLine="708" w:firstLineChars="236"/>
        <w:rPr>
          <w:rFonts w:ascii="仿宋" w:hAnsi="仿宋" w:eastAsia="仿宋"/>
          <w:sz w:val="30"/>
          <w:szCs w:val="30"/>
          <w:highlight w:val="none"/>
        </w:rPr>
      </w:pPr>
      <w:r>
        <w:rPr>
          <w:rFonts w:ascii="仿宋" w:hAnsi="仿宋" w:eastAsia="仿宋"/>
          <w:sz w:val="30"/>
          <w:szCs w:val="30"/>
          <w:highlight w:val="none"/>
        </w:rPr>
        <w:t>1.主要用途、范围：基本支出325.28万元用于保障单位机构正常运转、完成日常工作任务，包括人员经费286.30万元（含基本工资、津贴补贴、养老保险缴费等）和公用经费38.98万元（含办公费、差旅费、会议费等）。</w:t>
      </w:r>
    </w:p>
    <w:p w14:paraId="4E962339">
      <w:pPr>
        <w:ind w:firstLine="708" w:firstLineChars="236"/>
        <w:rPr>
          <w:rFonts w:ascii="仿宋" w:hAnsi="仿宋" w:eastAsia="仿宋"/>
          <w:sz w:val="30"/>
          <w:szCs w:val="30"/>
          <w:highlight w:val="none"/>
        </w:rPr>
      </w:pPr>
      <w:r>
        <w:rPr>
          <w:rFonts w:ascii="仿宋" w:hAnsi="仿宋" w:eastAsia="仿宋"/>
          <w:sz w:val="30"/>
          <w:szCs w:val="30"/>
          <w:highlight w:val="none"/>
        </w:rPr>
        <w:t>2.资金管理情况：严格执行政府会计准则制度，人员经费按编制和标准核定，公用经费按定额管理，资金支付通过国库集中支付系统执行，确保专款专用。</w:t>
      </w:r>
    </w:p>
    <w:p w14:paraId="037C73FE">
      <w:pPr>
        <w:ind w:firstLine="708" w:firstLineChars="236"/>
        <w:rPr>
          <w:rFonts w:ascii="仿宋" w:hAnsi="仿宋" w:eastAsia="仿宋"/>
          <w:sz w:val="30"/>
          <w:szCs w:val="30"/>
          <w:highlight w:val="none"/>
        </w:rPr>
      </w:pPr>
      <w:r>
        <w:rPr>
          <w:rFonts w:ascii="仿宋" w:hAnsi="仿宋" w:eastAsia="仿宋"/>
          <w:sz w:val="30"/>
          <w:szCs w:val="30"/>
          <w:highlight w:val="none"/>
        </w:rPr>
        <w:t>3.“三公”经费使用和管理：2024年“三公”经费决算数8.11万元，其中公务用车运行维护费5.96万元，公务接待费2.15万元。较年初预算9.5万元节约1.39万元，主要因贯彻厉行节约原则，缩减接待频次和标准。公务用车运行维护费控制在预算内，接待费严格按审批流程执行，无超支情况。</w:t>
      </w:r>
    </w:p>
    <w:p w14:paraId="0C9ED6DD">
      <w:pPr>
        <w:ind w:firstLine="708" w:firstLineChars="236"/>
        <w:rPr>
          <w:rFonts w:ascii="仿宋" w:hAnsi="仿宋" w:eastAsia="仿宋"/>
          <w:sz w:val="30"/>
          <w:szCs w:val="30"/>
          <w:highlight w:val="none"/>
        </w:rPr>
      </w:pPr>
      <w:r>
        <w:rPr>
          <w:rFonts w:ascii="仿宋" w:hAnsi="仿宋" w:eastAsia="仿宋"/>
          <w:sz w:val="30"/>
          <w:szCs w:val="30"/>
          <w:highlight w:val="none"/>
        </w:rPr>
        <w:t>（二）项目支出</w:t>
      </w:r>
    </w:p>
    <w:p w14:paraId="331C1784">
      <w:pPr>
        <w:ind w:firstLine="708" w:firstLineChars="236"/>
        <w:rPr>
          <w:rFonts w:ascii="仿宋" w:hAnsi="仿宋" w:eastAsia="仿宋"/>
          <w:sz w:val="30"/>
          <w:szCs w:val="30"/>
          <w:highlight w:val="none"/>
        </w:rPr>
      </w:pPr>
      <w:r>
        <w:rPr>
          <w:rFonts w:ascii="仿宋" w:hAnsi="仿宋" w:eastAsia="仿宋"/>
          <w:sz w:val="30"/>
          <w:szCs w:val="30"/>
          <w:highlight w:val="none"/>
        </w:rPr>
        <w:t>1.项目资金安排落实、总投入情况：年初项目预算115万元，全年调整至501.77万元，主要因中央及省级专项资金追加。资金来源为一般公共预算拨款，包括医疗保障服务与保障能力提升经费388.01万元、DIP支付方式改革专项经费25万元、医保市级统筹及平台上线专项经费48.61万元、基金监管专项经费15万元、全市医疗监管专项经费25万元、真抓实干督查激励奖励金0.15万元。</w:t>
      </w:r>
    </w:p>
    <w:p w14:paraId="13168438">
      <w:pPr>
        <w:ind w:firstLine="708" w:firstLineChars="236"/>
        <w:rPr>
          <w:rFonts w:ascii="仿宋" w:hAnsi="仿宋" w:eastAsia="仿宋"/>
          <w:sz w:val="30"/>
          <w:szCs w:val="30"/>
          <w:highlight w:val="none"/>
        </w:rPr>
      </w:pPr>
      <w:r>
        <w:rPr>
          <w:rFonts w:ascii="仿宋" w:hAnsi="仿宋" w:eastAsia="仿宋"/>
          <w:sz w:val="30"/>
          <w:szCs w:val="30"/>
          <w:highlight w:val="none"/>
        </w:rPr>
        <w:t>2.项目资金实际使用情况：</w:t>
      </w:r>
    </w:p>
    <w:p w14:paraId="44E937BD">
      <w:pPr>
        <w:ind w:firstLine="708" w:firstLineChars="236"/>
        <w:rPr>
          <w:rFonts w:ascii="仿宋" w:hAnsi="仿宋" w:eastAsia="仿宋"/>
          <w:sz w:val="30"/>
          <w:szCs w:val="30"/>
          <w:highlight w:val="none"/>
        </w:rPr>
      </w:pPr>
      <w:r>
        <w:rPr>
          <w:rFonts w:hint="eastAsia" w:ascii="仿宋" w:hAnsi="仿宋" w:eastAsia="仿宋"/>
          <w:sz w:val="30"/>
          <w:szCs w:val="30"/>
          <w:highlight w:val="none"/>
        </w:rPr>
        <w:t>（1）</w:t>
      </w:r>
      <w:r>
        <w:rPr>
          <w:rFonts w:ascii="仿宋" w:hAnsi="仿宋" w:eastAsia="仿宋"/>
          <w:sz w:val="30"/>
          <w:szCs w:val="30"/>
          <w:highlight w:val="none"/>
        </w:rPr>
        <w:t>医疗保障服务与保障能力提升经费388.01万元用于信息化升级、支付改革培训及经办服务优化；</w:t>
      </w:r>
    </w:p>
    <w:p w14:paraId="2D419711">
      <w:pPr>
        <w:ind w:firstLine="708" w:firstLineChars="236"/>
        <w:rPr>
          <w:rFonts w:ascii="仿宋" w:hAnsi="仿宋" w:eastAsia="仿宋"/>
          <w:sz w:val="30"/>
          <w:szCs w:val="30"/>
          <w:highlight w:val="none"/>
        </w:rPr>
      </w:pPr>
      <w:r>
        <w:rPr>
          <w:rFonts w:hint="eastAsia" w:ascii="仿宋" w:hAnsi="仿宋" w:eastAsia="仿宋"/>
          <w:sz w:val="30"/>
          <w:szCs w:val="30"/>
          <w:highlight w:val="none"/>
        </w:rPr>
        <w:t>（2）</w:t>
      </w:r>
      <w:r>
        <w:rPr>
          <w:rFonts w:ascii="仿宋" w:hAnsi="仿宋" w:eastAsia="仿宋"/>
          <w:sz w:val="30"/>
          <w:szCs w:val="30"/>
          <w:highlight w:val="none"/>
        </w:rPr>
        <w:t>DIP支付改革专项经费25万元实现二级及以上医疗机构改革全覆盖；</w:t>
      </w:r>
    </w:p>
    <w:p w14:paraId="62350C97">
      <w:pPr>
        <w:ind w:firstLine="708" w:firstLineChars="236"/>
        <w:rPr>
          <w:rFonts w:ascii="仿宋" w:hAnsi="仿宋" w:eastAsia="仿宋"/>
          <w:sz w:val="30"/>
          <w:szCs w:val="30"/>
          <w:highlight w:val="none"/>
        </w:rPr>
      </w:pPr>
      <w:r>
        <w:rPr>
          <w:rFonts w:hint="eastAsia" w:ascii="仿宋" w:hAnsi="仿宋" w:eastAsia="仿宋"/>
          <w:sz w:val="30"/>
          <w:szCs w:val="30"/>
          <w:highlight w:val="none"/>
        </w:rPr>
        <w:t>（3）</w:t>
      </w:r>
      <w:r>
        <w:rPr>
          <w:rFonts w:ascii="仿宋" w:hAnsi="仿宋" w:eastAsia="仿宋"/>
          <w:sz w:val="30"/>
          <w:szCs w:val="30"/>
          <w:highlight w:val="none"/>
        </w:rPr>
        <w:t>医保市级统筹专项经费48.61万元完成基金市级统收统支及信息平台部署；</w:t>
      </w:r>
    </w:p>
    <w:p w14:paraId="0D6C98BF">
      <w:pPr>
        <w:ind w:firstLine="708" w:firstLineChars="236"/>
        <w:rPr>
          <w:rFonts w:ascii="仿宋" w:hAnsi="仿宋" w:eastAsia="仿宋"/>
          <w:sz w:val="30"/>
          <w:szCs w:val="30"/>
          <w:highlight w:val="none"/>
        </w:rPr>
      </w:pPr>
      <w:r>
        <w:rPr>
          <w:rFonts w:hint="eastAsia" w:ascii="仿宋" w:hAnsi="仿宋" w:eastAsia="仿宋"/>
          <w:sz w:val="30"/>
          <w:szCs w:val="30"/>
          <w:highlight w:val="none"/>
        </w:rPr>
        <w:t>（4）</w:t>
      </w:r>
      <w:r>
        <w:rPr>
          <w:rFonts w:ascii="仿宋" w:hAnsi="仿宋" w:eastAsia="仿宋"/>
          <w:sz w:val="30"/>
          <w:szCs w:val="30"/>
          <w:highlight w:val="none"/>
        </w:rPr>
        <w:t>基金监管与全市医疗监管专项经费分别执行15万元、25万元，开展飞行检查12次，追回违规基金4623.39万元；</w:t>
      </w:r>
    </w:p>
    <w:p w14:paraId="08EC23C0">
      <w:pPr>
        <w:ind w:firstLine="708" w:firstLineChars="236"/>
        <w:rPr>
          <w:rFonts w:hint="eastAsia" w:ascii="仿宋" w:hAnsi="仿宋" w:eastAsia="仿宋"/>
          <w:sz w:val="30"/>
          <w:szCs w:val="30"/>
          <w:highlight w:val="none"/>
        </w:rPr>
      </w:pPr>
      <w:r>
        <w:rPr>
          <w:rFonts w:hint="eastAsia" w:ascii="仿宋" w:hAnsi="仿宋" w:eastAsia="仿宋"/>
          <w:sz w:val="30"/>
          <w:szCs w:val="30"/>
          <w:highlight w:val="none"/>
        </w:rPr>
        <w:t>（5）</w:t>
      </w:r>
      <w:r>
        <w:rPr>
          <w:rFonts w:ascii="仿宋" w:hAnsi="仿宋" w:eastAsia="仿宋"/>
          <w:sz w:val="30"/>
          <w:szCs w:val="30"/>
          <w:highlight w:val="none"/>
        </w:rPr>
        <w:t>真抓实干奖励金0.15万元用于</w:t>
      </w:r>
      <w:r>
        <w:rPr>
          <w:rFonts w:hint="eastAsia" w:ascii="仿宋" w:hAnsi="仿宋" w:eastAsia="仿宋"/>
          <w:sz w:val="30"/>
          <w:szCs w:val="30"/>
          <w:highlight w:val="none"/>
          <w:lang w:val="en-US" w:eastAsia="zh-CN"/>
        </w:rPr>
        <w:t>1</w:t>
      </w:r>
      <w:r>
        <w:rPr>
          <w:rFonts w:ascii="仿宋" w:hAnsi="仿宋" w:eastAsia="仿宋"/>
          <w:sz w:val="30"/>
          <w:szCs w:val="30"/>
          <w:highlight w:val="none"/>
        </w:rPr>
        <w:t>名督查人员激励，资金执行率100%。</w:t>
      </w:r>
    </w:p>
    <w:p w14:paraId="66E98913">
      <w:pPr>
        <w:ind w:firstLine="708" w:firstLineChars="236"/>
        <w:rPr>
          <w:rFonts w:ascii="仿宋" w:hAnsi="仿宋" w:eastAsia="仿宋"/>
          <w:sz w:val="30"/>
          <w:szCs w:val="30"/>
          <w:highlight w:val="none"/>
        </w:rPr>
      </w:pPr>
      <w:r>
        <w:rPr>
          <w:rFonts w:ascii="仿宋" w:hAnsi="仿宋" w:eastAsia="仿宋"/>
          <w:sz w:val="30"/>
          <w:szCs w:val="30"/>
          <w:highlight w:val="none"/>
        </w:rPr>
        <w:t>3.资金管理情况：制定《怀化市医保专项资金支付审批流程》，实行三级审核制度，项目单独设账核算，科目使用准确。经市审计局专项审计，账实、账账、账证相符率100%，无截留挪用情况。</w:t>
      </w:r>
    </w:p>
    <w:p w14:paraId="2FE42031">
      <w:pPr>
        <w:ind w:firstLine="708" w:firstLineChars="236"/>
        <w:rPr>
          <w:rFonts w:ascii="仿宋" w:hAnsi="仿宋" w:eastAsia="仿宋"/>
          <w:sz w:val="30"/>
          <w:szCs w:val="30"/>
          <w:highlight w:val="none"/>
        </w:rPr>
      </w:pPr>
      <w:r>
        <w:rPr>
          <w:rFonts w:ascii="仿宋" w:hAnsi="仿宋" w:eastAsia="仿宋"/>
          <w:sz w:val="30"/>
          <w:szCs w:val="30"/>
          <w:highlight w:val="none"/>
        </w:rPr>
        <w:t>三、项目组织实施情况</w:t>
      </w:r>
    </w:p>
    <w:p w14:paraId="5A220856">
      <w:pPr>
        <w:ind w:firstLine="708" w:firstLineChars="236"/>
        <w:rPr>
          <w:rFonts w:ascii="仿宋" w:hAnsi="仿宋" w:eastAsia="仿宋"/>
          <w:sz w:val="30"/>
          <w:szCs w:val="30"/>
          <w:highlight w:val="none"/>
        </w:rPr>
      </w:pPr>
      <w:r>
        <w:rPr>
          <w:rFonts w:ascii="仿宋" w:hAnsi="仿宋" w:eastAsia="仿宋"/>
          <w:sz w:val="30"/>
          <w:szCs w:val="30"/>
          <w:highlight w:val="none"/>
        </w:rPr>
        <w:t>（一）项目组织情况</w:t>
      </w:r>
    </w:p>
    <w:p w14:paraId="2D02364E">
      <w:pPr>
        <w:ind w:firstLine="708" w:firstLineChars="236"/>
        <w:rPr>
          <w:rFonts w:ascii="仿宋" w:hAnsi="仿宋" w:eastAsia="仿宋"/>
          <w:sz w:val="30"/>
          <w:szCs w:val="30"/>
          <w:highlight w:val="none"/>
        </w:rPr>
      </w:pPr>
      <w:r>
        <w:rPr>
          <w:rFonts w:ascii="仿宋" w:hAnsi="仿宋" w:eastAsia="仿宋"/>
          <w:sz w:val="30"/>
          <w:szCs w:val="30"/>
          <w:highlight w:val="none"/>
        </w:rPr>
        <w:t>1.招投标与调整：医保信息平台建设等大额项目按政府采购流程执行，采购金额77.04万元，其中货物采购77.04万元，无违规操作。医保市级统筹专项经费因省厅工作调整，暂缓部分运维服务，预算从50万元调整至48.61万元，调整程序符合规定。</w:t>
      </w:r>
    </w:p>
    <w:p w14:paraId="2C285F5B">
      <w:pPr>
        <w:ind w:firstLine="708" w:firstLineChars="236"/>
        <w:rPr>
          <w:rFonts w:ascii="仿宋" w:hAnsi="仿宋" w:eastAsia="仿宋"/>
          <w:sz w:val="30"/>
          <w:szCs w:val="30"/>
          <w:highlight w:val="none"/>
        </w:rPr>
      </w:pPr>
      <w:r>
        <w:rPr>
          <w:rFonts w:ascii="仿宋" w:hAnsi="仿宋" w:eastAsia="仿宋"/>
          <w:sz w:val="30"/>
          <w:szCs w:val="30"/>
          <w:highlight w:val="none"/>
        </w:rPr>
        <w:t>2.竣工验收：DIP支付改革、医保信息平台等项目均通过内部验收和第三方测评，如智能审核系统上线18类规则，拒付基金399.14万元，系统稳定性达99.9%。</w:t>
      </w:r>
    </w:p>
    <w:p w14:paraId="3E384DFB">
      <w:pPr>
        <w:ind w:firstLine="708" w:firstLineChars="236"/>
        <w:rPr>
          <w:rFonts w:ascii="仿宋" w:hAnsi="仿宋" w:eastAsia="仿宋"/>
          <w:sz w:val="30"/>
          <w:szCs w:val="30"/>
          <w:highlight w:val="none"/>
        </w:rPr>
      </w:pPr>
      <w:r>
        <w:rPr>
          <w:rFonts w:ascii="仿宋" w:hAnsi="仿宋" w:eastAsia="仿宋"/>
          <w:sz w:val="30"/>
          <w:szCs w:val="30"/>
          <w:highlight w:val="none"/>
        </w:rPr>
        <w:t>（二）项目管理情况</w:t>
      </w:r>
    </w:p>
    <w:p w14:paraId="79677D07">
      <w:pPr>
        <w:ind w:firstLine="708" w:firstLineChars="236"/>
        <w:rPr>
          <w:rFonts w:ascii="仿宋" w:hAnsi="仿宋" w:eastAsia="仿宋"/>
          <w:sz w:val="30"/>
          <w:szCs w:val="30"/>
          <w:highlight w:val="none"/>
        </w:rPr>
      </w:pPr>
      <w:r>
        <w:rPr>
          <w:rFonts w:ascii="仿宋" w:hAnsi="仿宋" w:eastAsia="仿宋"/>
          <w:sz w:val="30"/>
          <w:szCs w:val="30"/>
          <w:highlight w:val="none"/>
        </w:rPr>
        <w:t>1.制度建设：建立项目绩效目标管理机制，覆盖全部6个项目，明确数量、质量、时效指标。如DIP改革设定“覆盖100%二级医院”目标，实际完成100%，并超额覆盖80%基层医疗机构。</w:t>
      </w:r>
    </w:p>
    <w:p w14:paraId="65F53349">
      <w:pPr>
        <w:ind w:firstLine="708" w:firstLineChars="236"/>
        <w:rPr>
          <w:rFonts w:ascii="仿宋" w:hAnsi="仿宋" w:eastAsia="仿宋"/>
          <w:sz w:val="30"/>
          <w:szCs w:val="30"/>
          <w:highlight w:val="none"/>
        </w:rPr>
      </w:pPr>
      <w:r>
        <w:rPr>
          <w:rFonts w:ascii="仿宋" w:hAnsi="仿宋" w:eastAsia="仿宋"/>
          <w:sz w:val="30"/>
          <w:szCs w:val="30"/>
          <w:highlight w:val="none"/>
        </w:rPr>
        <w:t>2.日常监管：成立自评工作组，定期核查项目进度，对30家医药机构开展现场检查，核实智能审核系统运行情况。基金监管项目通过飞行检查、智能监控等方式，全年查处违规问题97个，建立湘黔“两省三地”跨省监管协作机制。</w:t>
      </w:r>
    </w:p>
    <w:p w14:paraId="2F88D22B">
      <w:pPr>
        <w:ind w:firstLine="708" w:firstLineChars="236"/>
        <w:rPr>
          <w:rFonts w:ascii="仿宋" w:hAnsi="仿宋" w:eastAsia="仿宋"/>
          <w:sz w:val="30"/>
          <w:szCs w:val="30"/>
          <w:highlight w:val="none"/>
        </w:rPr>
      </w:pPr>
      <w:r>
        <w:rPr>
          <w:rFonts w:ascii="仿宋" w:hAnsi="仿宋" w:eastAsia="仿宋"/>
          <w:sz w:val="30"/>
          <w:szCs w:val="30"/>
          <w:highlight w:val="none"/>
        </w:rPr>
        <w:t>四、资产管理情况</w:t>
      </w:r>
    </w:p>
    <w:p w14:paraId="22E163AB">
      <w:pPr>
        <w:ind w:firstLine="708" w:firstLineChars="236"/>
        <w:rPr>
          <w:rFonts w:ascii="仿宋" w:hAnsi="仿宋" w:eastAsia="仿宋"/>
          <w:sz w:val="30"/>
          <w:szCs w:val="30"/>
          <w:highlight w:val="none"/>
        </w:rPr>
      </w:pPr>
      <w:r>
        <w:rPr>
          <w:rFonts w:ascii="仿宋" w:hAnsi="仿宋" w:eastAsia="仿宋"/>
          <w:sz w:val="30"/>
          <w:szCs w:val="30"/>
          <w:highlight w:val="none"/>
        </w:rPr>
        <w:t>1.制度建设：制定资产管理制度，规范配置、使用和处置流程，资产采购按预算执行，2024年政府采购货物77.04万元，主要为办公设备及信息化设备。</w:t>
      </w:r>
    </w:p>
    <w:p w14:paraId="131050D1">
      <w:pPr>
        <w:ind w:firstLine="708" w:firstLineChars="236"/>
        <w:rPr>
          <w:rFonts w:ascii="仿宋" w:hAnsi="仿宋" w:eastAsia="仿宋"/>
          <w:sz w:val="30"/>
          <w:szCs w:val="30"/>
          <w:highlight w:val="none"/>
        </w:rPr>
      </w:pPr>
      <w:r>
        <w:rPr>
          <w:rFonts w:ascii="仿宋" w:hAnsi="仿宋" w:eastAsia="仿宋"/>
          <w:sz w:val="30"/>
          <w:szCs w:val="30"/>
          <w:highlight w:val="none"/>
        </w:rPr>
        <w:t>2.管理措施：资产实行台账管理，定期盘点，2024年末共有车辆1辆（原值30万元），无50万元以上通用设备或专用设备。因工作需要，退回机关事务局原值23.8万元旧车，置换为30万元新车，处置程序合规。</w:t>
      </w:r>
    </w:p>
    <w:p w14:paraId="6C3407DC">
      <w:pPr>
        <w:ind w:firstLine="708" w:firstLineChars="236"/>
        <w:rPr>
          <w:rFonts w:ascii="仿宋" w:hAnsi="仿宋" w:eastAsia="仿宋"/>
          <w:sz w:val="30"/>
          <w:szCs w:val="30"/>
          <w:highlight w:val="none"/>
        </w:rPr>
      </w:pPr>
      <w:r>
        <w:rPr>
          <w:rFonts w:ascii="仿宋" w:hAnsi="仿宋" w:eastAsia="仿宋"/>
          <w:sz w:val="30"/>
          <w:szCs w:val="30"/>
          <w:highlight w:val="none"/>
        </w:rPr>
        <w:t>3.配置处置程序：资产配置按编制和标准申请，处置经审批后执行，无违规处置情况。</w:t>
      </w:r>
    </w:p>
    <w:p w14:paraId="0FE29A3B">
      <w:pPr>
        <w:ind w:firstLine="708" w:firstLineChars="236"/>
        <w:rPr>
          <w:rFonts w:ascii="仿宋" w:hAnsi="仿宋" w:eastAsia="仿宋"/>
          <w:sz w:val="30"/>
          <w:szCs w:val="30"/>
          <w:highlight w:val="none"/>
        </w:rPr>
      </w:pPr>
      <w:r>
        <w:rPr>
          <w:rFonts w:ascii="仿宋" w:hAnsi="仿宋" w:eastAsia="仿宋"/>
          <w:sz w:val="30"/>
          <w:szCs w:val="30"/>
          <w:highlight w:val="none"/>
        </w:rPr>
        <w:t>五、政府性基金预算支出情况</w:t>
      </w:r>
    </w:p>
    <w:p w14:paraId="56D01578">
      <w:pPr>
        <w:ind w:firstLine="708" w:firstLineChars="236"/>
        <w:rPr>
          <w:rFonts w:ascii="仿宋" w:hAnsi="仿宋" w:eastAsia="仿宋"/>
          <w:sz w:val="30"/>
          <w:szCs w:val="30"/>
          <w:highlight w:val="none"/>
        </w:rPr>
      </w:pPr>
      <w:r>
        <w:rPr>
          <w:rFonts w:ascii="仿宋" w:hAnsi="仿宋" w:eastAsia="仿宋"/>
          <w:sz w:val="30"/>
          <w:szCs w:val="30"/>
          <w:highlight w:val="none"/>
        </w:rPr>
        <w:t>2024年无政府性基金预算支出。</w:t>
      </w:r>
    </w:p>
    <w:p w14:paraId="45376E4D">
      <w:pPr>
        <w:ind w:firstLine="708" w:firstLineChars="236"/>
        <w:rPr>
          <w:rFonts w:ascii="仿宋" w:hAnsi="仿宋" w:eastAsia="仿宋"/>
          <w:sz w:val="30"/>
          <w:szCs w:val="30"/>
          <w:highlight w:val="none"/>
        </w:rPr>
      </w:pPr>
      <w:r>
        <w:rPr>
          <w:rFonts w:ascii="仿宋" w:hAnsi="仿宋" w:eastAsia="仿宋"/>
          <w:sz w:val="30"/>
          <w:szCs w:val="30"/>
          <w:highlight w:val="none"/>
        </w:rPr>
        <w:t>六、国有资本经营预算支出情况</w:t>
      </w:r>
    </w:p>
    <w:p w14:paraId="4CD4D4FD">
      <w:pPr>
        <w:ind w:firstLine="708" w:firstLineChars="236"/>
        <w:rPr>
          <w:rFonts w:ascii="仿宋" w:hAnsi="仿宋" w:eastAsia="仿宋"/>
          <w:sz w:val="30"/>
          <w:szCs w:val="30"/>
          <w:highlight w:val="none"/>
        </w:rPr>
      </w:pPr>
      <w:r>
        <w:rPr>
          <w:rFonts w:ascii="仿宋" w:hAnsi="仿宋" w:eastAsia="仿宋"/>
          <w:sz w:val="30"/>
          <w:szCs w:val="30"/>
          <w:highlight w:val="none"/>
        </w:rPr>
        <w:t>2024年无国有资本经营预算支出。</w:t>
      </w:r>
    </w:p>
    <w:p w14:paraId="3B5EFCEB">
      <w:pPr>
        <w:ind w:firstLine="708" w:firstLineChars="236"/>
        <w:rPr>
          <w:rFonts w:ascii="仿宋" w:hAnsi="仿宋" w:eastAsia="仿宋"/>
          <w:sz w:val="30"/>
          <w:szCs w:val="30"/>
          <w:highlight w:val="none"/>
        </w:rPr>
      </w:pPr>
      <w:r>
        <w:rPr>
          <w:rFonts w:ascii="仿宋" w:hAnsi="仿宋" w:eastAsia="仿宋"/>
          <w:sz w:val="30"/>
          <w:szCs w:val="30"/>
          <w:highlight w:val="none"/>
        </w:rPr>
        <w:t>七、社会保险基金预算支出情况</w:t>
      </w:r>
    </w:p>
    <w:p w14:paraId="698D875D">
      <w:pPr>
        <w:ind w:firstLine="708" w:firstLineChars="236"/>
        <w:rPr>
          <w:rFonts w:ascii="仿宋" w:hAnsi="仿宋" w:eastAsia="仿宋"/>
          <w:sz w:val="30"/>
          <w:szCs w:val="30"/>
          <w:highlight w:val="none"/>
        </w:rPr>
      </w:pPr>
      <w:r>
        <w:rPr>
          <w:rFonts w:ascii="仿宋" w:hAnsi="仿宋" w:eastAsia="仿宋"/>
          <w:sz w:val="30"/>
          <w:szCs w:val="30"/>
          <w:highlight w:val="none"/>
        </w:rPr>
        <w:t>部门预算未涉及社会保险基金预算支出，相关业务由市级统筹基金安排，2024年全市医保基金总支出64.33亿元，历年累计结余62.53亿元，运行安全平稳。</w:t>
      </w:r>
    </w:p>
    <w:p w14:paraId="6AE235B4">
      <w:pPr>
        <w:ind w:firstLine="708" w:firstLineChars="236"/>
        <w:rPr>
          <w:rFonts w:ascii="仿宋" w:hAnsi="仿宋" w:eastAsia="仿宋"/>
          <w:sz w:val="30"/>
          <w:szCs w:val="30"/>
          <w:highlight w:val="none"/>
        </w:rPr>
      </w:pPr>
      <w:r>
        <w:rPr>
          <w:rFonts w:ascii="仿宋" w:hAnsi="仿宋" w:eastAsia="仿宋"/>
          <w:sz w:val="30"/>
          <w:szCs w:val="30"/>
          <w:highlight w:val="none"/>
        </w:rPr>
        <w:t>八、部门整体支出绩效情况</w:t>
      </w:r>
    </w:p>
    <w:p w14:paraId="160E2716">
      <w:pPr>
        <w:ind w:firstLine="708" w:firstLineChars="236"/>
        <w:rPr>
          <w:rFonts w:ascii="仿宋" w:hAnsi="仿宋" w:eastAsia="仿宋"/>
          <w:sz w:val="30"/>
          <w:szCs w:val="30"/>
          <w:highlight w:val="none"/>
        </w:rPr>
      </w:pPr>
      <w:r>
        <w:rPr>
          <w:rFonts w:ascii="仿宋" w:hAnsi="仿宋" w:eastAsia="仿宋"/>
          <w:sz w:val="30"/>
          <w:szCs w:val="30"/>
          <w:highlight w:val="none"/>
        </w:rPr>
        <w:t>（一）绩效目标完成情况</w:t>
      </w:r>
    </w:p>
    <w:p w14:paraId="4F90E6A4">
      <w:pPr>
        <w:ind w:firstLine="708" w:firstLineChars="236"/>
        <w:rPr>
          <w:rFonts w:ascii="仿宋" w:hAnsi="仿宋" w:eastAsia="仿宋"/>
          <w:sz w:val="30"/>
          <w:szCs w:val="30"/>
          <w:highlight w:val="none"/>
        </w:rPr>
      </w:pPr>
      <w:r>
        <w:rPr>
          <w:rFonts w:ascii="仿宋" w:hAnsi="仿宋" w:eastAsia="仿宋"/>
          <w:sz w:val="30"/>
          <w:szCs w:val="30"/>
          <w:highlight w:val="none"/>
        </w:rPr>
        <w:t>1.核心目标达成：</w:t>
      </w:r>
    </w:p>
    <w:p w14:paraId="79211188">
      <w:pPr>
        <w:ind w:firstLine="708" w:firstLineChars="236"/>
        <w:rPr>
          <w:rFonts w:ascii="仿宋" w:hAnsi="仿宋" w:eastAsia="仿宋"/>
          <w:sz w:val="30"/>
          <w:szCs w:val="30"/>
          <w:highlight w:val="none"/>
        </w:rPr>
      </w:pPr>
      <w:r>
        <w:rPr>
          <w:rFonts w:hint="eastAsia" w:ascii="仿宋" w:hAnsi="仿宋" w:eastAsia="仿宋"/>
          <w:sz w:val="30"/>
          <w:szCs w:val="30"/>
          <w:highlight w:val="none"/>
        </w:rPr>
        <w:t>（1）</w:t>
      </w:r>
      <w:r>
        <w:rPr>
          <w:rFonts w:ascii="仿宋" w:hAnsi="仿宋" w:eastAsia="仿宋"/>
          <w:sz w:val="30"/>
          <w:szCs w:val="30"/>
          <w:highlight w:val="none"/>
        </w:rPr>
        <w:t>支付方式改革：DIP支付覆盖全部二级及以上医院，推动紧密型医共体总额付费，医保基金使用效率提升15%，住院次均费用增长率控制在5%以内。</w:t>
      </w:r>
    </w:p>
    <w:p w14:paraId="7DD0839F">
      <w:pPr>
        <w:ind w:firstLine="708" w:firstLineChars="236"/>
        <w:rPr>
          <w:rFonts w:ascii="仿宋" w:hAnsi="仿宋" w:eastAsia="仿宋"/>
          <w:sz w:val="30"/>
          <w:szCs w:val="30"/>
          <w:highlight w:val="none"/>
        </w:rPr>
      </w:pPr>
      <w:r>
        <w:rPr>
          <w:rFonts w:hint="eastAsia" w:ascii="仿宋" w:hAnsi="仿宋" w:eastAsia="仿宋"/>
          <w:sz w:val="30"/>
          <w:szCs w:val="30"/>
          <w:highlight w:val="none"/>
        </w:rPr>
        <w:t>（2）</w:t>
      </w:r>
      <w:r>
        <w:rPr>
          <w:rFonts w:ascii="仿宋" w:hAnsi="仿宋" w:eastAsia="仿宋"/>
          <w:sz w:val="30"/>
          <w:szCs w:val="30"/>
          <w:highlight w:val="none"/>
        </w:rPr>
        <w:t>基金安全：全年追回违规基金及处罚款4623.39万元，智能审核拒付399.14万元，建立跨省监管协作机制，查处异地违规问题97个。</w:t>
      </w:r>
    </w:p>
    <w:p w14:paraId="4EDE5E6F">
      <w:pPr>
        <w:ind w:firstLine="708" w:firstLineChars="236"/>
        <w:rPr>
          <w:rFonts w:ascii="仿宋" w:hAnsi="仿宋" w:eastAsia="仿宋"/>
          <w:sz w:val="30"/>
          <w:szCs w:val="30"/>
          <w:highlight w:val="none"/>
        </w:rPr>
      </w:pPr>
      <w:r>
        <w:rPr>
          <w:rFonts w:hint="eastAsia" w:ascii="仿宋" w:hAnsi="仿宋" w:eastAsia="仿宋"/>
          <w:sz w:val="30"/>
          <w:szCs w:val="30"/>
          <w:highlight w:val="none"/>
        </w:rPr>
        <w:t>（3）</w:t>
      </w:r>
      <w:r>
        <w:rPr>
          <w:rFonts w:ascii="仿宋" w:hAnsi="仿宋" w:eastAsia="仿宋"/>
          <w:sz w:val="30"/>
          <w:szCs w:val="30"/>
          <w:highlight w:val="none"/>
        </w:rPr>
        <w:t>服务优化：医保信息平台上线后，对接368家住院医疗机构，异地直接结算率提升至85%，群众办事时间缩短50%，“新医保·心服务”品牌满意度达95.3%。</w:t>
      </w:r>
    </w:p>
    <w:p w14:paraId="4B2BFCEB">
      <w:pPr>
        <w:ind w:firstLine="708" w:firstLineChars="236"/>
        <w:rPr>
          <w:rFonts w:ascii="仿宋" w:hAnsi="仿宋" w:eastAsia="仿宋"/>
          <w:sz w:val="30"/>
          <w:szCs w:val="30"/>
          <w:highlight w:val="none"/>
        </w:rPr>
      </w:pPr>
      <w:r>
        <w:rPr>
          <w:rFonts w:ascii="仿宋" w:hAnsi="仿宋" w:eastAsia="仿宋"/>
          <w:sz w:val="30"/>
          <w:szCs w:val="30"/>
          <w:highlight w:val="none"/>
        </w:rPr>
        <w:t>2.超额完成目标：全市医疗监管专项经费上线18类智能审核规则（超预期20%），DIP改革培训1200人次（超预期20%），因强降雨新增3次基金监管应急检查，飞行检查达12次（超预期50%）。</w:t>
      </w:r>
    </w:p>
    <w:p w14:paraId="63148A4C">
      <w:pPr>
        <w:ind w:firstLine="708" w:firstLineChars="236"/>
        <w:rPr>
          <w:rFonts w:ascii="仿宋" w:hAnsi="仿宋" w:eastAsia="仿宋"/>
          <w:sz w:val="30"/>
          <w:szCs w:val="30"/>
          <w:highlight w:val="none"/>
        </w:rPr>
      </w:pPr>
      <w:r>
        <w:rPr>
          <w:rFonts w:ascii="仿宋" w:hAnsi="仿宋" w:eastAsia="仿宋"/>
          <w:sz w:val="30"/>
          <w:szCs w:val="30"/>
          <w:highlight w:val="none"/>
        </w:rPr>
        <w:t>（二）产出与效益分析</w:t>
      </w:r>
    </w:p>
    <w:p w14:paraId="76D45936">
      <w:pPr>
        <w:ind w:firstLine="708" w:firstLineChars="236"/>
        <w:rPr>
          <w:rFonts w:ascii="仿宋" w:hAnsi="仿宋" w:eastAsia="仿宋"/>
          <w:sz w:val="30"/>
          <w:szCs w:val="30"/>
          <w:highlight w:val="none"/>
        </w:rPr>
      </w:pPr>
      <w:r>
        <w:rPr>
          <w:rFonts w:ascii="仿宋" w:hAnsi="仿宋" w:eastAsia="仿宋"/>
          <w:sz w:val="30"/>
          <w:szCs w:val="30"/>
          <w:highlight w:val="none"/>
        </w:rPr>
        <w:t>1.运行成本：每万元项目资金带动节约医保基金约398万元，集采药品705种、耗材25大类，平均降价53%和80%，累计节约基金近20亿元。</w:t>
      </w:r>
    </w:p>
    <w:p w14:paraId="7AA2F810">
      <w:pPr>
        <w:ind w:firstLine="708" w:firstLineChars="236"/>
        <w:rPr>
          <w:rFonts w:ascii="仿宋" w:hAnsi="仿宋" w:eastAsia="仿宋"/>
          <w:sz w:val="30"/>
          <w:szCs w:val="30"/>
          <w:highlight w:val="none"/>
        </w:rPr>
      </w:pPr>
      <w:r>
        <w:rPr>
          <w:rFonts w:ascii="仿宋" w:hAnsi="仿宋" w:eastAsia="仿宋"/>
          <w:sz w:val="30"/>
          <w:szCs w:val="30"/>
          <w:highlight w:val="none"/>
        </w:rPr>
        <w:t>2.管理效率：基本支出控制率97.22%（因追加人员经费），项目支出执行率100%，资金使用效率高。医保市级统筹实现基金统收统支，调剂解决洪江区基金缺口6878万元。</w:t>
      </w:r>
    </w:p>
    <w:p w14:paraId="635B3DE0">
      <w:pPr>
        <w:ind w:firstLine="708" w:firstLineChars="236"/>
        <w:rPr>
          <w:rFonts w:ascii="仿宋" w:hAnsi="仿宋" w:eastAsia="仿宋"/>
          <w:sz w:val="30"/>
          <w:szCs w:val="30"/>
          <w:highlight w:val="none"/>
        </w:rPr>
      </w:pPr>
      <w:r>
        <w:rPr>
          <w:rFonts w:ascii="仿宋" w:hAnsi="仿宋" w:eastAsia="仿宋"/>
          <w:sz w:val="30"/>
          <w:szCs w:val="30"/>
          <w:highlight w:val="none"/>
        </w:rPr>
        <w:t>3.履职效能：支持中医药产业发展，提高中医诊疗项目报销比例5%，184种自制药剂入选省医保目录，数量居全省第一。助力区域医疗中心建设，出台十条支持措施，对9个省级临床重点专科倾斜基金300万元，设立525个基层病种实行同病同价。</w:t>
      </w:r>
    </w:p>
    <w:p w14:paraId="79DDC53F">
      <w:pPr>
        <w:ind w:firstLine="708" w:firstLineChars="236"/>
        <w:rPr>
          <w:rFonts w:ascii="仿宋" w:hAnsi="仿宋" w:eastAsia="仿宋"/>
          <w:sz w:val="30"/>
          <w:szCs w:val="30"/>
          <w:highlight w:val="none"/>
        </w:rPr>
      </w:pPr>
      <w:r>
        <w:rPr>
          <w:rFonts w:ascii="仿宋" w:hAnsi="仿宋" w:eastAsia="仿宋"/>
          <w:sz w:val="30"/>
          <w:szCs w:val="30"/>
          <w:highlight w:val="none"/>
        </w:rPr>
        <w:t>4.社会效应：资助23.19万人次困难人员参保，金额7080.97万元；23.20万人次实现医疗救助“一站式”结算，救助金额2.06亿元，有效防范因病返贫。</w:t>
      </w:r>
    </w:p>
    <w:p w14:paraId="6A31BAC9">
      <w:pPr>
        <w:ind w:firstLine="708" w:firstLineChars="236"/>
        <w:rPr>
          <w:rFonts w:ascii="仿宋" w:hAnsi="仿宋" w:eastAsia="仿宋"/>
          <w:sz w:val="30"/>
          <w:szCs w:val="30"/>
          <w:highlight w:val="none"/>
        </w:rPr>
      </w:pPr>
      <w:r>
        <w:rPr>
          <w:rFonts w:ascii="仿宋" w:hAnsi="仿宋" w:eastAsia="仿宋"/>
          <w:sz w:val="30"/>
          <w:szCs w:val="30"/>
          <w:highlight w:val="none"/>
        </w:rPr>
        <w:t>5.可持续影响：形成“基金统管-风险共担-服务同质”长效机制，DIP改革、经办“六心六零”工作获国家局、省政府推介，多项工作获省局通报表彰。</w:t>
      </w:r>
    </w:p>
    <w:p w14:paraId="5C251C28">
      <w:pPr>
        <w:ind w:firstLine="708" w:firstLineChars="236"/>
        <w:rPr>
          <w:rFonts w:ascii="仿宋" w:hAnsi="仿宋" w:eastAsia="仿宋"/>
          <w:sz w:val="30"/>
          <w:szCs w:val="30"/>
          <w:highlight w:val="none"/>
        </w:rPr>
      </w:pPr>
      <w:r>
        <w:rPr>
          <w:rFonts w:ascii="仿宋" w:hAnsi="仿宋" w:eastAsia="仿宋"/>
          <w:sz w:val="30"/>
          <w:szCs w:val="30"/>
          <w:highlight w:val="none"/>
        </w:rPr>
        <w:t>6.服务对象满意度：参保群众与医药机构满意度达95.3%，超年度指标5.3个百分点，主要因异地结算效率提升、经办服务优化。</w:t>
      </w:r>
    </w:p>
    <w:p w14:paraId="10031924">
      <w:pPr>
        <w:ind w:firstLine="708" w:firstLineChars="236"/>
        <w:rPr>
          <w:rFonts w:ascii="仿宋" w:hAnsi="仿宋" w:eastAsia="仿宋"/>
          <w:sz w:val="30"/>
          <w:szCs w:val="30"/>
          <w:highlight w:val="none"/>
        </w:rPr>
      </w:pPr>
      <w:r>
        <w:rPr>
          <w:rFonts w:ascii="仿宋" w:hAnsi="仿宋" w:eastAsia="仿宋"/>
          <w:sz w:val="30"/>
          <w:szCs w:val="30"/>
          <w:highlight w:val="none"/>
        </w:rPr>
        <w:t>九、存在的问题及原因分析</w:t>
      </w:r>
    </w:p>
    <w:p w14:paraId="767B51CF">
      <w:pPr>
        <w:ind w:firstLine="708" w:firstLineChars="236"/>
        <w:rPr>
          <w:rFonts w:hint="default" w:ascii="仿宋" w:hAnsi="仿宋" w:eastAsia="仿宋"/>
          <w:sz w:val="30"/>
          <w:szCs w:val="30"/>
          <w:highlight w:val="none"/>
          <w:lang w:val="en-US" w:eastAsia="zh-CN"/>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lang w:eastAsia="zh-CN"/>
        </w:rPr>
        <w:t>人员编制严重不足</w:t>
      </w:r>
      <w:r>
        <w:rPr>
          <w:rFonts w:ascii="仿宋" w:hAnsi="仿宋" w:eastAsia="仿宋"/>
          <w:sz w:val="30"/>
          <w:szCs w:val="30"/>
          <w:highlight w:val="none"/>
        </w:rPr>
        <w:t>：</w:t>
      </w:r>
      <w:r>
        <w:rPr>
          <w:rFonts w:hint="eastAsia" w:ascii="仿宋" w:hAnsi="仿宋" w:eastAsia="仿宋"/>
          <w:sz w:val="30"/>
          <w:szCs w:val="30"/>
          <w:highlight w:val="none"/>
          <w:lang w:eastAsia="zh-CN"/>
        </w:rPr>
        <w:t>局机关只有</w:t>
      </w:r>
      <w:r>
        <w:rPr>
          <w:rFonts w:hint="eastAsia" w:ascii="仿宋" w:hAnsi="仿宋" w:eastAsia="仿宋"/>
          <w:sz w:val="30"/>
          <w:szCs w:val="30"/>
          <w:highlight w:val="none"/>
          <w:lang w:val="en-US" w:eastAsia="zh-CN"/>
        </w:rPr>
        <w:t>13个编，不单独核算的结算中心7个编，医保局自</w:t>
      </w:r>
      <w:r>
        <w:rPr>
          <w:rFonts w:hint="eastAsia" w:ascii="仿宋" w:hAnsi="仿宋" w:eastAsia="仿宋" w:cs="仿宋"/>
          <w:sz w:val="32"/>
          <w:szCs w:val="32"/>
          <w:highlight w:val="none"/>
          <w:lang w:val="en-US" w:eastAsia="zh-CN"/>
        </w:rPr>
        <w:t>成立以来担负着诸多改革任务，每年新出的政策和任务较多，工作任务重，人员配备严重不足。</w:t>
      </w:r>
    </w:p>
    <w:p w14:paraId="551FA76A">
      <w:pPr>
        <w:ind w:firstLine="708" w:firstLineChars="236"/>
        <w:rPr>
          <w:rFonts w:ascii="仿宋" w:hAnsi="仿宋" w:eastAsia="仿宋"/>
          <w:sz w:val="30"/>
          <w:szCs w:val="30"/>
          <w:highlight w:val="none"/>
        </w:rPr>
      </w:pPr>
      <w:r>
        <w:rPr>
          <w:rFonts w:ascii="仿宋" w:hAnsi="仿宋" w:eastAsia="仿宋"/>
          <w:sz w:val="30"/>
          <w:szCs w:val="30"/>
          <w:highlight w:val="none"/>
        </w:rPr>
        <w:t>2.预算执行偏差：医保市级统筹专项经费因合同约定，1.39万元运维尾款延迟至2025年支付，导致执行率97.22%，但未影响项目整体效益。</w:t>
      </w:r>
    </w:p>
    <w:p w14:paraId="0AAAD32E">
      <w:pPr>
        <w:ind w:firstLine="708" w:firstLineChars="236"/>
        <w:rPr>
          <w:rFonts w:ascii="仿宋" w:hAnsi="仿宋" w:eastAsia="仿宋"/>
          <w:sz w:val="30"/>
          <w:szCs w:val="30"/>
          <w:highlight w:val="none"/>
        </w:rPr>
      </w:pPr>
      <w:r>
        <w:rPr>
          <w:rFonts w:ascii="仿宋" w:hAnsi="仿宋" w:eastAsia="仿宋"/>
          <w:sz w:val="30"/>
          <w:szCs w:val="30"/>
          <w:highlight w:val="none"/>
        </w:rPr>
        <w:t>十、下一步改进措施</w:t>
      </w:r>
    </w:p>
    <w:p w14:paraId="0A10CE9A">
      <w:pPr>
        <w:numPr>
          <w:ilvl w:val="0"/>
          <w:numId w:val="0"/>
        </w:numPr>
        <w:ind w:firstLine="600" w:firstLineChars="200"/>
        <w:rPr>
          <w:rFonts w:hint="eastAsia" w:ascii="仿宋" w:hAnsi="仿宋" w:eastAsia="仿宋"/>
          <w:sz w:val="30"/>
          <w:szCs w:val="30"/>
          <w:highlight w:val="none"/>
          <w:lang w:eastAsia="zh-CN"/>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lang w:eastAsia="zh-CN"/>
        </w:rPr>
        <w:t>多向市委、市政府汇报，与市编委沟通，争取增加编制，配备更多工作人员。</w:t>
      </w:r>
    </w:p>
    <w:p w14:paraId="3265632A">
      <w:pPr>
        <w:ind w:firstLine="708" w:firstLineChars="236"/>
        <w:rPr>
          <w:rFonts w:ascii="仿宋" w:hAnsi="仿宋" w:eastAsia="仿宋"/>
          <w:sz w:val="30"/>
          <w:szCs w:val="30"/>
          <w:highlight w:val="none"/>
        </w:rPr>
      </w:pPr>
      <w:r>
        <w:rPr>
          <w:rFonts w:hint="eastAsia" w:ascii="仿宋" w:hAnsi="仿宋" w:eastAsia="仿宋"/>
          <w:sz w:val="30"/>
          <w:szCs w:val="30"/>
          <w:highlight w:val="none"/>
          <w:lang w:val="en-US" w:eastAsia="zh-CN"/>
        </w:rPr>
        <w:t>2</w:t>
      </w:r>
      <w:r>
        <w:rPr>
          <w:rFonts w:ascii="仿宋" w:hAnsi="仿宋" w:eastAsia="仿宋"/>
          <w:sz w:val="30"/>
          <w:szCs w:val="30"/>
          <w:highlight w:val="none"/>
        </w:rPr>
        <w:t>.规范预算执行：加强项目资金进度管理，提前对接供应商，避免因付款周期导致执行率偏差，特殊情况及时申请预算调整。</w:t>
      </w:r>
    </w:p>
    <w:p w14:paraId="7CDD033C">
      <w:pPr>
        <w:ind w:firstLine="708" w:firstLineChars="236"/>
        <w:rPr>
          <w:rFonts w:ascii="仿宋" w:hAnsi="仿宋" w:eastAsia="仿宋"/>
          <w:sz w:val="30"/>
          <w:szCs w:val="30"/>
          <w:highlight w:val="none"/>
        </w:rPr>
      </w:pPr>
      <w:r>
        <w:rPr>
          <w:rFonts w:ascii="仿宋" w:hAnsi="仿宋" w:eastAsia="仿宋"/>
          <w:sz w:val="30"/>
          <w:szCs w:val="30"/>
          <w:highlight w:val="none"/>
        </w:rPr>
        <w:t>十一、绩效自评结果拟应用和公开情况</w:t>
      </w:r>
    </w:p>
    <w:p w14:paraId="44A1CF30">
      <w:pPr>
        <w:ind w:firstLine="708" w:firstLineChars="236"/>
        <w:rPr>
          <w:rFonts w:ascii="仿宋" w:hAnsi="仿宋" w:eastAsia="仿宋"/>
          <w:sz w:val="30"/>
          <w:szCs w:val="30"/>
          <w:highlight w:val="none"/>
        </w:rPr>
      </w:pPr>
      <w:r>
        <w:rPr>
          <w:rFonts w:ascii="仿宋" w:hAnsi="仿宋" w:eastAsia="仿宋"/>
          <w:sz w:val="30"/>
          <w:szCs w:val="30"/>
          <w:highlight w:val="none"/>
        </w:rPr>
        <w:t>1.结果应用：将自评结果作为2025年预算编制依据，如医疗保障服务与保障能力提升经费拟申请450万元（增加15.97%），</w:t>
      </w:r>
      <w:r>
        <w:rPr>
          <w:rFonts w:hint="eastAsia" w:ascii="仿宋" w:hAnsi="仿宋" w:eastAsia="仿宋" w:cs="仿宋"/>
          <w:b w:val="0"/>
          <w:bCs w:val="0"/>
          <w:sz w:val="32"/>
          <w:szCs w:val="32"/>
          <w:highlight w:val="none"/>
          <w:lang w:val="en-US" w:eastAsia="zh-CN"/>
        </w:rPr>
        <w:t>信息化建设、医保支付方式改革、基金监管、医药价格及招标采购、宣传费用、会议培训等</w:t>
      </w:r>
      <w:r>
        <w:rPr>
          <w:rFonts w:ascii="仿宋" w:hAnsi="仿宋" w:eastAsia="仿宋"/>
          <w:b w:val="0"/>
          <w:bCs w:val="0"/>
          <w:sz w:val="30"/>
          <w:szCs w:val="30"/>
          <w:highlight w:val="none"/>
        </w:rPr>
        <w:t>。</w:t>
      </w:r>
    </w:p>
    <w:p w14:paraId="4D65E84D">
      <w:pPr>
        <w:ind w:firstLine="708" w:firstLineChars="236"/>
        <w:rPr>
          <w:rFonts w:ascii="仿宋" w:hAnsi="仿宋" w:eastAsia="仿宋"/>
          <w:sz w:val="30"/>
          <w:szCs w:val="30"/>
          <w:highlight w:val="none"/>
        </w:rPr>
      </w:pPr>
      <w:r>
        <w:rPr>
          <w:rFonts w:ascii="仿宋" w:hAnsi="仿宋" w:eastAsia="仿宋"/>
          <w:sz w:val="30"/>
          <w:szCs w:val="30"/>
          <w:highlight w:val="none"/>
        </w:rPr>
        <w:t>2.公开计划：按规定将绩效自评报告在市政府门户网站公开，接受社会监督，公开内容包括部门整体支出绩效、项目绩效及整改措施等。</w:t>
      </w:r>
    </w:p>
    <w:p w14:paraId="32ED4F25">
      <w:pPr>
        <w:ind w:firstLine="708" w:firstLineChars="236"/>
        <w:rPr>
          <w:rFonts w:ascii="仿宋" w:hAnsi="仿宋" w:eastAsia="仿宋"/>
          <w:sz w:val="30"/>
          <w:szCs w:val="30"/>
          <w:highlight w:val="none"/>
        </w:rPr>
      </w:pPr>
      <w:r>
        <w:rPr>
          <w:rFonts w:ascii="仿宋" w:hAnsi="仿宋" w:eastAsia="仿宋"/>
          <w:sz w:val="30"/>
          <w:szCs w:val="30"/>
          <w:highlight w:val="none"/>
        </w:rPr>
        <w:t>十二、其他需要说明的情况</w:t>
      </w:r>
    </w:p>
    <w:p w14:paraId="7293FC30">
      <w:pPr>
        <w:ind w:firstLine="708" w:firstLineChars="236"/>
        <w:rPr>
          <w:rFonts w:ascii="仿宋" w:hAnsi="仿宋" w:eastAsia="仿宋"/>
          <w:sz w:val="30"/>
          <w:szCs w:val="30"/>
          <w:highlight w:val="none"/>
        </w:rPr>
      </w:pPr>
      <w:r>
        <w:rPr>
          <w:rFonts w:ascii="仿宋" w:hAnsi="仿宋" w:eastAsia="仿宋"/>
          <w:sz w:val="30"/>
          <w:szCs w:val="30"/>
          <w:highlight w:val="none"/>
        </w:rPr>
        <w:t>1.预算调整说明：2024年医保市级统筹专项经费从50万元调整至48.61万元，因省厅年度重点工作调整，暂缓部分运维服务。</w:t>
      </w:r>
    </w:p>
    <w:p w14:paraId="3FBD6124">
      <w:pPr>
        <w:ind w:firstLine="708" w:firstLineChars="236"/>
        <w:rPr>
          <w:rFonts w:ascii="仿宋" w:hAnsi="仿宋" w:eastAsia="仿宋"/>
          <w:sz w:val="30"/>
          <w:szCs w:val="30"/>
          <w:highlight w:val="none"/>
        </w:rPr>
      </w:pPr>
      <w:r>
        <w:rPr>
          <w:rFonts w:ascii="仿宋" w:hAnsi="仿宋" w:eastAsia="仿宋"/>
          <w:sz w:val="30"/>
          <w:szCs w:val="30"/>
          <w:highlight w:val="none"/>
        </w:rPr>
        <w:t>2.绩效关联说明：各项目绩效目标与《怀化市“十四五”医疗保障规划》紧密衔接，如DIP支付改革支撑“智慧医保”建设要求，集采工作落实医药价格改革任务。</w:t>
      </w:r>
    </w:p>
    <w:p w14:paraId="3DBCA636">
      <w:pPr>
        <w:ind w:firstLine="708" w:firstLineChars="236"/>
        <w:rPr>
          <w:rFonts w:ascii="仿宋" w:hAnsi="仿宋" w:eastAsia="仿宋"/>
          <w:sz w:val="30"/>
          <w:szCs w:val="30"/>
          <w:highlight w:val="none"/>
        </w:rPr>
      </w:pPr>
    </w:p>
    <w:p w14:paraId="51503864">
      <w:pPr>
        <w:ind w:firstLine="708" w:firstLineChars="236"/>
        <w:rPr>
          <w:rFonts w:ascii="仿宋" w:hAnsi="仿宋" w:eastAsia="仿宋"/>
          <w:sz w:val="30"/>
          <w:szCs w:val="30"/>
        </w:rPr>
      </w:pPr>
    </w:p>
    <w:p w14:paraId="151866A4">
      <w:pPr>
        <w:pStyle w:val="13"/>
        <w:jc w:val="center"/>
        <w:rPr>
          <w:rFonts w:ascii="Times New Roman" w:hAnsi="Times New Roman" w:cs="Times New Roman"/>
          <w:sz w:val="72"/>
          <w:szCs w:val="72"/>
        </w:rPr>
      </w:pPr>
    </w:p>
    <w:p w14:paraId="210310C7">
      <w:pPr>
        <w:pStyle w:val="13"/>
        <w:jc w:val="center"/>
        <w:rPr>
          <w:rFonts w:ascii="Times New Roman" w:hAnsi="Times New Roman" w:cs="Times New Roman"/>
          <w:sz w:val="72"/>
          <w:szCs w:val="72"/>
        </w:rPr>
      </w:pPr>
    </w:p>
    <w:p w14:paraId="103DA5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401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3B01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A95B">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87B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0FD3E">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570FD3E">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5A2FE"/>
    <w:multiLevelType w:val="singleLevel"/>
    <w:tmpl w:val="90B5A2FE"/>
    <w:lvl w:ilvl="0" w:tentative="0">
      <w:start w:val="2"/>
      <w:numFmt w:val="chineseCounting"/>
      <w:suff w:val="nothing"/>
      <w:lvlText w:val="（%1）"/>
      <w:lvlJc w:val="left"/>
      <w:rPr>
        <w:rFonts w:hint="eastAsia"/>
      </w:rPr>
    </w:lvl>
  </w:abstractNum>
  <w:abstractNum w:abstractNumId="1">
    <w:nsid w:val="C72F1D62"/>
    <w:multiLevelType w:val="singleLevel"/>
    <w:tmpl w:val="C72F1D62"/>
    <w:lvl w:ilvl="0" w:tentative="0">
      <w:start w:val="5"/>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B4F5F"/>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1C69F7"/>
    <w:rsid w:val="065E4A58"/>
    <w:rsid w:val="162E2871"/>
    <w:rsid w:val="181810F1"/>
    <w:rsid w:val="1CD4205B"/>
    <w:rsid w:val="1D5726AE"/>
    <w:rsid w:val="1D646104"/>
    <w:rsid w:val="1D97DEFF"/>
    <w:rsid w:val="1DFF72E5"/>
    <w:rsid w:val="1EFC6F07"/>
    <w:rsid w:val="232800E7"/>
    <w:rsid w:val="29F574D6"/>
    <w:rsid w:val="2BEC66B7"/>
    <w:rsid w:val="2FDF85B8"/>
    <w:rsid w:val="2FFFEE04"/>
    <w:rsid w:val="34DF85B0"/>
    <w:rsid w:val="3ABB2076"/>
    <w:rsid w:val="3B8F36BC"/>
    <w:rsid w:val="3FCE45FA"/>
    <w:rsid w:val="40C80D01"/>
    <w:rsid w:val="48623B31"/>
    <w:rsid w:val="491FF225"/>
    <w:rsid w:val="4C3370E1"/>
    <w:rsid w:val="4FFD214C"/>
    <w:rsid w:val="51EB103B"/>
    <w:rsid w:val="5777D4F5"/>
    <w:rsid w:val="59DD8326"/>
    <w:rsid w:val="5DEF592A"/>
    <w:rsid w:val="5ED55E37"/>
    <w:rsid w:val="5FC6BB1E"/>
    <w:rsid w:val="5FF720F1"/>
    <w:rsid w:val="672C6E6F"/>
    <w:rsid w:val="675758BB"/>
    <w:rsid w:val="67D839B8"/>
    <w:rsid w:val="67FF5C0B"/>
    <w:rsid w:val="6EFC0924"/>
    <w:rsid w:val="6FB74722"/>
    <w:rsid w:val="6FEF8B7E"/>
    <w:rsid w:val="71585CF6"/>
    <w:rsid w:val="71791D68"/>
    <w:rsid w:val="71A6591B"/>
    <w:rsid w:val="737D59BA"/>
    <w:rsid w:val="74B143F7"/>
    <w:rsid w:val="75E47B35"/>
    <w:rsid w:val="77C37683"/>
    <w:rsid w:val="784A12EA"/>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3269</Words>
  <Characters>3895</Characters>
  <Lines>69</Lines>
  <Paragraphs>19</Paragraphs>
  <TotalTime>1</TotalTime>
  <ScaleCrop>false</ScaleCrop>
  <LinksUpToDate>false</LinksUpToDate>
  <CharactersWithSpaces>4884</CharactersWithSpaces>
  <Application>WPS Office_12.1.0.24034_F1E327BC-269C-435d-A152-05C5408002CA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2025-09-12T01:37:00Z</dcterms:created>
  <dc:creator>李航 null</dc:creator>
  <cp:lastModifiedBy>小杨</cp:lastModifiedBy>
  <cp:lastPrinted>2024-08-08T18:20:00Z</cp:lastPrinted>
  <dcterms:modified xsi:type="dcterms:W3CDTF">2025-12-06T14:08:09Z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4FBF8A01B2DC431A8C0426F7DA6B81E4_13</vt:lpwstr>
  </property>
  <property fmtid="{D5CDD505-2E9C-101B-9397-08002B2CF9AE}" pid="4" name="KSOTemplateDocerSaveRecord">
    <vt:lpwstr>eyJoZGlkIjoiYjM0OTA5NWQwNGI1NTFlMjZhNjVkNGI3MjdlNTk4Y2YiLCJ1c2VySWQiOiI0NDYwMjY4NjEifQ==</vt:lpwstr>
  </property>
</Properties>
</file>